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nil"/>
        <w:rPr>
          <w14:ligatures w14:val="none"/>
        </w:rPr>
        <w:framePr w:w="3732" w:h="970" w:vSpace="0" w:hSpace="142" w:wrap="around" w:vAnchor="page" w:hAnchor="page" w:x="801" w:y="426" w:hRule="atLeast"/>
      </w:pPr>
      <w:r/>
      <w:bookmarkStart w:id="0" w:name="_GoBack"/>
      <w:r/>
      <w:bookmarkEnd w:id="0"/>
      <w:r/>
      <w:r>
        <w:rPr>
          <w14:ligatures w14:val="none"/>
        </w:rPr>
      </w:r>
    </w:p>
    <w:p>
      <w:pPr>
        <w:pStyle w:val="841"/>
        <w:ind w:left="482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Приложение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41"/>
        <w:ind w:left="482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к приказу Миндортранса УР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41"/>
        <w:ind w:left="482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от _______________ №________________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41"/>
        <w:ind w:left="4820"/>
        <w:jc w:val="left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r>
    </w:p>
    <w:p>
      <w:pPr>
        <w:pStyle w:val="841"/>
        <w:ind w:left="4820"/>
        <w:jc w:val="left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Доклад о правоприменительной практике Министерства транспорта и дорожного хозяйства Удмуртской Республики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ортных средств и размеров платы за выдачу дубликата диагностической карты на бумажном носителе на территории Удмуртской Республики за 2024 год</w:t>
      </w:r>
      <w:r/>
    </w:p>
    <w:p>
      <w:pPr>
        <w:pStyle w:val="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Составление ежегодного плана проверок юридических лиц и индивидуальных предпринимателей, его направление в органы прокуратуры и доработка по итогам рассмотрения в органах прокуратуры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Подготовка проекта ежегодного плана проверок индивидуальных предпринимателей и юридических лиц (далее - ежегодный план проверок) осуществлялась в соответствии со ст. 61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закона от 31.07.2020 № 248-ФЗ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(далее – ФЗ № 248). В соответствии с пунктом 14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постановления Правительства Удмуртской Республики от 20.12.2021 № 684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территории Удмуртской Республики»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отношении объектов контроля (надзора), отнесенных к категории низкого риска причинения вреда (ущерба), плановые контрольные (надзорные) мероприятия не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проводятся.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причине того, что все объекты контроля (надзора) отнесены к низкой категории риска на 2025 год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проверки не запланированы.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8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Разработка и издание решений о проведении контрольных (надзорных) мероприятий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Проекты решений о проведении контрольных (надзорных) мероприя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тий подготавливаются в соответствии с типовыми формами решений о проведении контрольных (надзорных) мероприятий, утвержденных приказом Минэкономразвития России от 31.03.2021 № 151 «О типовых формах документов, используемых контрольным (надзорным) органом».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Оформленный проект решения о проведении контрольного (надзорного) мероприятия направляется министру (заместителю министра) для подписания. После подписания проекта решения о проведении контрольного (надзорного) мероприятия передается специалисту Минист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ерства, ответственному за организацию и ведение делопроизводства, для его регистрации. Специалист Министерства, ответственный за организацию и ведение делопроизводства, в этот же день регистрирует решение о проведении контрольного (надзорного) мероприятия.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После регистрации решение о проведении контрольного (надзорного) мероприятия направляется должностному лиц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у, уполномоченному на проведение контрольного (надзорного) мероприятия для  уведомления контролируемого лица с проводимым контрольным (надзорным) мероприятием,  а также для размещения необходимых сведений едином реестре контрольных (надзорных) мероприятий.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 Исчисление и соблюдение сроков проведения контрольных (надзорных) мероприятий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С</w:t>
      </w:r>
      <w:r>
        <w:rPr>
          <w:rFonts w:ascii="PT Astra Serif" w:hAnsi="PT Astra Serif"/>
          <w:sz w:val="28"/>
          <w:szCs w:val="28"/>
        </w:rPr>
        <w:t xml:space="preserve">р</w:t>
      </w:r>
      <w:r>
        <w:rPr>
          <w:rFonts w:ascii="PT Astra Serif" w:hAnsi="PT Astra Serif"/>
          <w:sz w:val="28"/>
          <w:szCs w:val="28"/>
        </w:rPr>
        <w:t xml:space="preserve">оки проведения контрольных (надзорных) мероприятий регламентированы Федеральным законом от 31 июля 2020 года № 248-ФЗ «О государственном контроле (надзоре) и муниципальном контроле в Российской Федерации», а также постановлением Правительства Удмуртской Ре</w:t>
      </w:r>
      <w:r>
        <w:rPr>
          <w:rFonts w:ascii="PT Astra Serif" w:hAnsi="PT Astra Serif"/>
          <w:sz w:val="28"/>
          <w:szCs w:val="28"/>
        </w:rPr>
        <w:t xml:space="preserve">с</w:t>
      </w:r>
      <w:r>
        <w:rPr>
          <w:rFonts w:ascii="PT Astra Serif" w:hAnsi="PT Astra Serif"/>
          <w:sz w:val="28"/>
          <w:szCs w:val="28"/>
        </w:rPr>
        <w:t xml:space="preserve">публики от 20 декабря 2021 года № 684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</w:t>
      </w:r>
      <w:r>
        <w:rPr>
          <w:rFonts w:ascii="PT Astra Serif" w:hAnsi="PT Astra Serif"/>
          <w:sz w:val="28"/>
          <w:szCs w:val="28"/>
        </w:rPr>
        <w:t xml:space="preserve">ической карты на бумажном носителе на территории Удмуртской Республики».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Информирование контролируемых лиц о проведении контрольных (надзорных) мероприятий осуществляется в соответствии со ст. 21 Федерального закона от 31 июля 2</w:t>
      </w:r>
      <w:r>
        <w:rPr>
          <w:rFonts w:ascii="PT Astra Serif" w:hAnsi="PT Astra Serif"/>
          <w:sz w:val="28"/>
          <w:szCs w:val="28"/>
        </w:rPr>
        <w:t xml:space="preserve">0</w:t>
      </w:r>
      <w:r>
        <w:rPr>
          <w:rFonts w:ascii="PT Astra Serif" w:hAnsi="PT Astra Serif"/>
          <w:sz w:val="28"/>
          <w:szCs w:val="28"/>
        </w:rPr>
        <w:t xml:space="preserve">20 года № 248-ФЗ «О государственном контроле (надзоре) и муниципальном контроле в Российской Федерации». Преимущественно информирование осуществляется посредством размещения информации в едином реестре контрольных (надзорных) мероприятий, посредством почто</w:t>
      </w:r>
      <w:r>
        <w:rPr>
          <w:rFonts w:ascii="PT Astra Serif" w:hAnsi="PT Astra Serif"/>
          <w:sz w:val="28"/>
          <w:szCs w:val="28"/>
        </w:rPr>
        <w:t xml:space="preserve">вой корреспонденции и электронной почты.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4. Оформление результатов контрольных (надзорных) мероприятий и принятие мер по их результатам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По окончании проведения контрольного (надзорного) мероприятия, предусматривающего взаимо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действие с контролируемым лицом, составляется акт контрольного (надзорного) мероприятия в соответствии с формой,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случае, если по результатам 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Оформление акта производится на месте проведения контрольного (надзорного) мероприятия в день окончания проведения такого мероприятия.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Контролируемое ли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цо или его представитель знакомится с содержанием акта на месте проведения контрольного (надзорного) мероприятия, за исключением случаев проведения документарной проверки либо контрольного (надзорного) мероприятия без взаимодействия с контролируемым лицом.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Уполномоченное на проведение контрольного (надзорного) мероприятия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контролируемым лицом, должностным лицом Министерства, уполномоченным на проведение контрольного (надзор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ного) мероприятия, выдается контролируемому лицу после оформления акта контрольного (надзорного) мероприятия предписание об устранении выявленных нарушений с указанием разумных сроков их устранения и (или) о проведении мероприятий по предотвращению причине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ния вреда (ущерба) охраняемым законом ценностям, а также принимаются иные меры (при наличии оснований), указанные в ст. 90 Федерального закона от 31.07.2020 г. № 248-ФЗ «О государственном контроле (надзоре) и муниципальном контроле в Российской Федерации».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5. Привлечение контролируемых лиц к административной ответственности за административные правонарушения, выявленные при осуществлении регионального государственного контроля (надзора)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П</w:t>
      </w:r>
      <w:r>
        <w:rPr>
          <w:rFonts w:ascii="PT Astra Serif" w:hAnsi="PT Astra Serif"/>
          <w:sz w:val="28"/>
          <w:szCs w:val="28"/>
        </w:rPr>
        <w:t xml:space="preserve">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</w:t>
      </w:r>
      <w:r>
        <w:rPr>
          <w:rFonts w:ascii="PT Astra Serif" w:hAnsi="PT Astra Serif"/>
          <w:sz w:val="28"/>
          <w:szCs w:val="28"/>
        </w:rPr>
        <w:t xml:space="preserve">и Удмуртской Республики в 2024 году: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20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В</w:t>
      </w:r>
      <w:r>
        <w:rPr>
          <w:rFonts w:ascii="PT Astra Serif" w:hAnsi="PT Astra Serif"/>
          <w:sz w:val="28"/>
          <w:szCs w:val="28"/>
        </w:rPr>
        <w:t xml:space="preserve"> 2024 году Министерством плановые проверки в отношении операторов технического осмотра, осуществляющих деятельность по проведению технического осмотра транспортных средств и выдачу дубликата диагностической карты на бумажном носителе на территории Удмуртск</w:t>
      </w:r>
      <w:r>
        <w:rPr>
          <w:rFonts w:ascii="PT Astra Serif" w:hAnsi="PT Astra Serif"/>
          <w:sz w:val="28"/>
          <w:szCs w:val="28"/>
        </w:rPr>
        <w:t xml:space="preserve">ой Республики, не проводились.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20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Э</w:t>
      </w:r>
      <w:r>
        <w:rPr>
          <w:rFonts w:ascii="PT Astra Serif" w:hAnsi="PT Astra Serif"/>
          <w:sz w:val="28"/>
          <w:szCs w:val="28"/>
        </w:rPr>
        <w:t xml:space="preserve">ксперты и представители экспертных организаций в 2024 году не привлекались к проведению контрольных (надзорных) мероприятий, информация о случаях причинения контролируемыми лицами, в отношении которых осуществляются контрольные (надзорные) мероприятия, вре</w:t>
      </w:r>
      <w:r>
        <w:rPr>
          <w:rFonts w:ascii="PT Astra Serif" w:hAnsi="PT Astra Serif"/>
          <w:sz w:val="28"/>
          <w:szCs w:val="28"/>
        </w:rPr>
        <w:t xml:space="preserve">д</w:t>
      </w:r>
      <w:r>
        <w:rPr>
          <w:rFonts w:ascii="PT Astra Serif" w:hAnsi="PT Astra Serif"/>
          <w:sz w:val="28"/>
          <w:szCs w:val="28"/>
        </w:rPr>
        <w:t xml:space="preserve">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случаях возникнов</w:t>
      </w:r>
      <w:r>
        <w:rPr>
          <w:rFonts w:ascii="PT Astra Serif" w:hAnsi="PT Astra Serif"/>
          <w:sz w:val="28"/>
          <w:szCs w:val="28"/>
        </w:rPr>
        <w:t xml:space="preserve">ения чрезвычайных ситуаций природного и техногенного характера в 2024 году в Министерство не поступала.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6. Информация о проведенных профилактических мероприятиях в отношении подконтрольных субъектов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В 2024 году были проведены следующие профилактические мероприятия в отношении поднадзорных субъектов: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20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-</w:t>
      </w:r>
      <w:r>
        <w:rPr>
          <w:rFonts w:ascii="PT Astra Serif" w:hAnsi="PT Astra Serif"/>
          <w:sz w:val="28"/>
          <w:szCs w:val="28"/>
        </w:rPr>
        <w:t xml:space="preserve"> Обеспечено размещение на официальных сайте Миндортранса УР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за с</w:t>
      </w: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Республики, а также текстов соответствующих нормативных пра</w:t>
      </w:r>
      <w:r>
        <w:rPr>
          <w:rFonts w:ascii="PT Astra Serif" w:hAnsi="PT Astra Serif"/>
          <w:sz w:val="28"/>
          <w:szCs w:val="28"/>
        </w:rPr>
        <w:t xml:space="preserve">вовых актов;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20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- Осуществлено информирование юридических лиц, индивидуальных предпринимателей по вопросам соблюдения обязательных требований;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20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-</w:t>
      </w:r>
      <w:r>
        <w:rPr>
          <w:rFonts w:ascii="PT Astra Serif" w:hAnsi="PT Astra Serif"/>
          <w:sz w:val="28"/>
          <w:szCs w:val="28"/>
        </w:rPr>
        <w:t xml:space="preserve"> Обеспечено регулярное обобщение практики осуществления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</w:t>
      </w:r>
      <w:r>
        <w:rPr>
          <w:rFonts w:ascii="PT Astra Serif" w:hAnsi="PT Astra Serif"/>
          <w:sz w:val="28"/>
          <w:szCs w:val="28"/>
        </w:rPr>
        <w:t xml:space="preserve">к</w:t>
      </w:r>
      <w:r>
        <w:rPr>
          <w:rFonts w:ascii="PT Astra Serif" w:hAnsi="PT Astra Serif"/>
          <w:sz w:val="28"/>
          <w:szCs w:val="28"/>
        </w:rPr>
        <w:t xml:space="preserve">арты на бумажном носителе на территории Удмуртской Республики и размещение на официальном сайте Миндортранса УР соответствующих обобщений, с рекомендациями в отношении мер, которые должны приниматься операторами технического осмотра, осуществляющими деятел</w:t>
      </w:r>
      <w:r>
        <w:rPr>
          <w:rFonts w:ascii="PT Astra Serif" w:hAnsi="PT Astra Serif"/>
          <w:sz w:val="28"/>
          <w:szCs w:val="28"/>
        </w:rPr>
        <w:t xml:space="preserve">ьность по проведению технического осмотра транспортных средств и выдачу дубликата диагностической карты на бумажном носителе на территории Удмуртской Республики в целях недопущения таких нарушений;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Предостережения о недопустимости нарушения обязательных требований в 2024 году не выдавались.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Рекомендации контролируемым лицам по проведению мероприятий, направленных на устранение причин совершения наиболее часто встречающихся нарушений обязательных требований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2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целях предупреждения совершения нарушений субъектами считаем целесообразным дать следующие рекомендации: </w:t>
      </w:r>
      <w:r>
        <w:rPr>
          <w:rFonts w:ascii="PT Astra Serif" w:hAnsi="PT Astra Serif"/>
          <w:color w:val="000000" w:themeColor="text1"/>
          <w:sz w:val="28"/>
          <w:szCs w:val="28"/>
        </w:rPr>
      </w:r>
      <w:r/>
    </w:p>
    <w:p>
      <w:pPr>
        <w:pStyle w:val="820"/>
        <w:ind w:firstLine="708"/>
        <w:jc w:val="both"/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обеспечить выполнение требований, предусмотренных Федеральным законом от 01 июля 2011 года № 170-ФЗ «О техническом осмотре транспортных средств и о внесении изменений в отдельные законодательные акты Российской Федерации»;</w:t>
      </w:r>
      <w:r>
        <w:rPr>
          <w:rFonts w:ascii="PT Astra Serif" w:hAnsi="PT Astra Serif"/>
          <w:color w:val="000000" w:themeColor="text1"/>
          <w:sz w:val="28"/>
          <w:szCs w:val="28"/>
        </w:rPr>
      </w:r>
      <w:r/>
    </w:p>
    <w:p>
      <w:pPr>
        <w:pStyle w:val="820"/>
        <w:ind w:firstLine="708"/>
        <w:jc w:val="both"/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обеспечивать соблюдение предельных размеров платы за проведение технического осмотра транспортных средств на территории Удмуртской Республики, установленных Постановлением Правительства УР от 13 ноября 2024 года № 597 «Об установлении предельных размеров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платы за проведение технического осмотра транспортных средств на территории Удмуртской Республики на 2025 год». </w:t>
      </w:r>
      <w:r>
        <w:rPr>
          <w:rFonts w:ascii="PT Astra Serif" w:hAnsi="PT Astra Serif"/>
          <w:color w:val="000000" w:themeColor="text1"/>
          <w:sz w:val="28"/>
          <w:szCs w:val="28"/>
        </w:rPr>
      </w:r>
      <w:r/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Т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акже в целях недопущения привлечения к административной ответственности поднадзорных субъектов по ч.1 ст. 19.4 КоАП РФ, ч.1 ст. 19.5 КоАП РФ рекомендуем не игнорировать направляемые контролируемым лицам решения о проведении контрольных (надзорных) мероприя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тиях,  предоставлять в Миндортранс УР все запрашиваемые документы, а также надлежащим образом выполнять выданные представления и предписания. </w:t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82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1135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ohit Devanagari">
    <w:panose1 w:val="020B0600000000000000"/>
  </w:font>
  <w:font w:name="Open Sans">
    <w:panose1 w:val="020B0606030504020204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5"/>
    <w:link w:val="821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5"/>
    <w:link w:val="822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5"/>
    <w:link w:val="823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5"/>
    <w:link w:val="824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5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5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0"/>
    <w:next w:val="820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0"/>
    <w:next w:val="820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5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0"/>
    <w:next w:val="820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5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68">
    <w:name w:val="Title Char"/>
    <w:basedOn w:val="825"/>
    <w:link w:val="841"/>
    <w:uiPriority w:val="10"/>
    <w:rPr>
      <w:sz w:val="48"/>
      <w:szCs w:val="48"/>
    </w:rPr>
  </w:style>
  <w:style w:type="paragraph" w:styleId="669">
    <w:name w:val="Subtitle"/>
    <w:basedOn w:val="820"/>
    <w:next w:val="820"/>
    <w:link w:val="670"/>
    <w:uiPriority w:val="11"/>
    <w:qFormat/>
    <w:pPr>
      <w:spacing w:before="200" w:after="200"/>
    </w:pPr>
    <w:rPr>
      <w:sz w:val="24"/>
      <w:szCs w:val="24"/>
    </w:rPr>
  </w:style>
  <w:style w:type="character" w:styleId="670">
    <w:name w:val="Subtitle Char"/>
    <w:basedOn w:val="825"/>
    <w:link w:val="669"/>
    <w:uiPriority w:val="11"/>
    <w:rPr>
      <w:sz w:val="24"/>
      <w:szCs w:val="24"/>
    </w:rPr>
  </w:style>
  <w:style w:type="paragraph" w:styleId="671">
    <w:name w:val="Quote"/>
    <w:basedOn w:val="820"/>
    <w:next w:val="820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20"/>
    <w:next w:val="820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character" w:styleId="675">
    <w:name w:val="Header Char"/>
    <w:basedOn w:val="825"/>
    <w:link w:val="850"/>
    <w:uiPriority w:val="99"/>
  </w:style>
  <w:style w:type="character" w:styleId="676">
    <w:name w:val="Footer Char"/>
    <w:basedOn w:val="825"/>
    <w:link w:val="851"/>
    <w:uiPriority w:val="99"/>
  </w:style>
  <w:style w:type="character" w:styleId="677">
    <w:name w:val="Caption Char"/>
    <w:basedOn w:val="839"/>
    <w:link w:val="851"/>
    <w:uiPriority w:val="99"/>
  </w:style>
  <w:style w:type="table" w:styleId="678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5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5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21">
    <w:name w:val="Heading 1"/>
    <w:basedOn w:val="820"/>
    <w:next w:val="820"/>
    <w:qFormat/>
    <w:pPr>
      <w:ind w:left="360" w:hanging="360"/>
      <w:jc w:val="center"/>
      <w:keepNext/>
      <w:outlineLvl w:val="0"/>
    </w:pPr>
    <w:rPr>
      <w:rFonts w:ascii="Arial" w:hAnsi="Arial" w:cs="Arial"/>
      <w:sz w:val="28"/>
    </w:rPr>
  </w:style>
  <w:style w:type="paragraph" w:styleId="822">
    <w:name w:val="Heading 2"/>
    <w:basedOn w:val="820"/>
    <w:next w:val="820"/>
    <w:qFormat/>
    <w:pPr>
      <w:ind w:left="360" w:hanging="360"/>
      <w:jc w:val="center"/>
      <w:keepNext/>
      <w:outlineLvl w:val="1"/>
    </w:pPr>
    <w:rPr>
      <w:rFonts w:ascii="Arial" w:hAnsi="Arial" w:cs="Arial"/>
      <w:b/>
      <w:sz w:val="32"/>
    </w:rPr>
  </w:style>
  <w:style w:type="paragraph" w:styleId="823">
    <w:name w:val="Heading 3"/>
    <w:basedOn w:val="820"/>
    <w:next w:val="820"/>
    <w:link w:val="826"/>
    <w:uiPriority w:val="9"/>
    <w:qFormat/>
    <w:pPr>
      <w:jc w:val="center"/>
      <w:keepNext/>
      <w:outlineLvl w:val="2"/>
    </w:pPr>
    <w:rPr>
      <w:sz w:val="28"/>
      <w:szCs w:val="20"/>
    </w:rPr>
  </w:style>
  <w:style w:type="paragraph" w:styleId="824">
    <w:name w:val="Heading 4"/>
    <w:basedOn w:val="820"/>
    <w:next w:val="820"/>
    <w:qFormat/>
    <w:pPr>
      <w:ind w:left="1042"/>
      <w:jc w:val="both"/>
      <w:keepNext/>
      <w:outlineLvl w:val="3"/>
    </w:pPr>
    <w:rPr>
      <w:u w:val="single"/>
    </w:rPr>
  </w:style>
  <w:style w:type="character" w:styleId="825" w:default="1">
    <w:name w:val="Default Paragraph Font"/>
    <w:uiPriority w:val="1"/>
    <w:semiHidden/>
    <w:unhideWhenUsed/>
    <w:qFormat/>
  </w:style>
  <w:style w:type="character" w:styleId="826" w:customStyle="1">
    <w:name w:val="Заголовок 3 Знак"/>
    <w:basedOn w:val="825"/>
    <w:uiPriority w:val="9"/>
    <w:qFormat/>
    <w:rPr>
      <w:sz w:val="28"/>
    </w:rPr>
  </w:style>
  <w:style w:type="character" w:styleId="827" w:customStyle="1">
    <w:name w:val="Название Знак"/>
    <w:basedOn w:val="825"/>
    <w:uiPriority w:val="10"/>
    <w:qFormat/>
    <w:rPr>
      <w:b/>
      <w:bCs/>
      <w:sz w:val="28"/>
    </w:rPr>
  </w:style>
  <w:style w:type="character" w:styleId="828" w:customStyle="1">
    <w:name w:val="Основной текст Знак"/>
    <w:basedOn w:val="825"/>
    <w:semiHidden/>
    <w:qFormat/>
    <w:rPr>
      <w:rFonts w:ascii="Arial" w:hAnsi="Arial" w:cs="Arial"/>
      <w:bCs/>
      <w:sz w:val="24"/>
      <w:szCs w:val="24"/>
    </w:rPr>
  </w:style>
  <w:style w:type="character" w:styleId="829" w:customStyle="1">
    <w:name w:val="Основной текст с отступом 2 Знак"/>
    <w:basedOn w:val="825"/>
    <w:link w:val="842"/>
    <w:semiHidden/>
    <w:qFormat/>
    <w:rPr>
      <w:rFonts w:ascii="Arial" w:hAnsi="Arial" w:cs="Arial"/>
      <w:b/>
      <w:bCs/>
      <w:sz w:val="22"/>
      <w:szCs w:val="24"/>
    </w:rPr>
  </w:style>
  <w:style w:type="character" w:styleId="830" w:customStyle="1">
    <w:name w:val="Текст выноски Знак"/>
    <w:basedOn w:val="825"/>
    <w:link w:val="847"/>
    <w:uiPriority w:val="99"/>
    <w:semiHidden/>
    <w:qFormat/>
    <w:rPr>
      <w:rFonts w:ascii="Tahoma" w:hAnsi="Tahoma" w:cs="Tahoma"/>
      <w:sz w:val="16"/>
      <w:szCs w:val="16"/>
    </w:rPr>
  </w:style>
  <w:style w:type="character" w:styleId="831" w:customStyle="1">
    <w:name w:val="Верхний колонтитул Знак"/>
    <w:basedOn w:val="825"/>
    <w:uiPriority w:val="99"/>
    <w:qFormat/>
    <w:rPr>
      <w:sz w:val="24"/>
      <w:szCs w:val="24"/>
    </w:rPr>
  </w:style>
  <w:style w:type="character" w:styleId="832" w:customStyle="1">
    <w:name w:val="Нижний колонтитул Знак"/>
    <w:basedOn w:val="825"/>
    <w:uiPriority w:val="99"/>
    <w:qFormat/>
    <w:rPr>
      <w:sz w:val="24"/>
      <w:szCs w:val="24"/>
    </w:rPr>
  </w:style>
  <w:style w:type="character" w:styleId="833">
    <w:name w:val="Hyperlink"/>
    <w:basedOn w:val="825"/>
    <w:uiPriority w:val="99"/>
    <w:semiHidden/>
    <w:unhideWhenUsed/>
    <w:rPr>
      <w:color w:val="0000ff"/>
      <w:u w:val="single"/>
    </w:rPr>
  </w:style>
  <w:style w:type="character" w:styleId="834" w:customStyle="1">
    <w:name w:val="Основной текст_"/>
    <w:link w:val="853"/>
    <w:qFormat/>
    <w:rPr>
      <w:sz w:val="22"/>
      <w:szCs w:val="22"/>
      <w:shd w:val="clear" w:color="auto" w:fill="ffffff"/>
    </w:rPr>
  </w:style>
  <w:style w:type="character" w:styleId="835" w:customStyle="1">
    <w:name w:val="Основной текст1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color w:val="000000"/>
      <w:spacing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836">
    <w:name w:val="Заголовок"/>
    <w:basedOn w:val="820"/>
    <w:next w:val="837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37">
    <w:name w:val="Body Text"/>
    <w:basedOn w:val="820"/>
    <w:link w:val="828"/>
    <w:semiHidden/>
    <w:pPr>
      <w:jc w:val="both"/>
    </w:pPr>
    <w:rPr>
      <w:rFonts w:ascii="Arial" w:hAnsi="Arial" w:cs="Arial"/>
      <w:bCs/>
    </w:rPr>
  </w:style>
  <w:style w:type="paragraph" w:styleId="838">
    <w:name w:val="List"/>
    <w:basedOn w:val="837"/>
    <w:rPr>
      <w:rFonts w:cs="Lohit Devanagari"/>
    </w:rPr>
  </w:style>
  <w:style w:type="paragraph" w:styleId="839">
    <w:name w:val="Caption"/>
    <w:basedOn w:val="820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40">
    <w:name w:val="Указатель"/>
    <w:basedOn w:val="820"/>
    <w:qFormat/>
    <w:pPr>
      <w:suppressLineNumbers/>
    </w:pPr>
    <w:rPr>
      <w:rFonts w:cs="Lohit Devanagari"/>
    </w:rPr>
  </w:style>
  <w:style w:type="paragraph" w:styleId="841">
    <w:name w:val="Title"/>
    <w:basedOn w:val="820"/>
    <w:link w:val="827"/>
    <w:uiPriority w:val="10"/>
    <w:qFormat/>
    <w:pPr>
      <w:jc w:val="center"/>
      <w:tabs>
        <w:tab w:val="clear" w:pos="708" w:leader="none"/>
        <w:tab w:val="left" w:pos="3969" w:leader="none"/>
      </w:tabs>
    </w:pPr>
    <w:rPr>
      <w:b/>
      <w:bCs/>
      <w:sz w:val="28"/>
      <w:szCs w:val="20"/>
    </w:rPr>
  </w:style>
  <w:style w:type="paragraph" w:styleId="842">
    <w:name w:val="Body Text Indent 2"/>
    <w:basedOn w:val="820"/>
    <w:link w:val="829"/>
    <w:semiHidden/>
    <w:qFormat/>
    <w:pPr>
      <w:ind w:left="360" w:hanging="360"/>
      <w:jc w:val="both"/>
    </w:pPr>
    <w:rPr>
      <w:rFonts w:ascii="Arial" w:hAnsi="Arial" w:cs="Arial"/>
      <w:b/>
      <w:bCs/>
      <w:sz w:val="22"/>
    </w:rPr>
  </w:style>
  <w:style w:type="paragraph" w:styleId="843">
    <w:name w:val="Body Text Indent"/>
    <w:basedOn w:val="820"/>
    <w:semiHidden/>
    <w:pPr>
      <w:ind w:left="360"/>
      <w:jc w:val="both"/>
    </w:pPr>
    <w:rPr>
      <w:rFonts w:ascii="Arial" w:hAnsi="Arial" w:cs="Arial"/>
      <w:sz w:val="22"/>
    </w:rPr>
  </w:style>
  <w:style w:type="paragraph" w:styleId="844">
    <w:name w:val="Body Text Indent 3"/>
    <w:basedOn w:val="820"/>
    <w:semiHidden/>
    <w:qFormat/>
    <w:pPr>
      <w:ind w:left="360" w:hanging="360"/>
      <w:jc w:val="both"/>
    </w:pPr>
    <w:rPr>
      <w:rFonts w:ascii="Arial" w:hAnsi="Arial" w:cs="Arial"/>
      <w:sz w:val="22"/>
    </w:rPr>
  </w:style>
  <w:style w:type="paragraph" w:styleId="845">
    <w:name w:val="Body Text 2"/>
    <w:basedOn w:val="820"/>
    <w:semiHidden/>
    <w:qFormat/>
    <w:pPr>
      <w:jc w:val="both"/>
    </w:pPr>
    <w:rPr>
      <w:rFonts w:ascii="Arial" w:hAnsi="Arial" w:cs="Arial"/>
      <w:sz w:val="22"/>
    </w:rPr>
  </w:style>
  <w:style w:type="paragraph" w:styleId="846">
    <w:name w:val="List Paragraph"/>
    <w:basedOn w:val="820"/>
    <w:uiPriority w:val="34"/>
    <w:qFormat/>
    <w:pPr>
      <w:ind w:left="708"/>
    </w:pPr>
  </w:style>
  <w:style w:type="paragraph" w:styleId="847">
    <w:name w:val="Balloon Text"/>
    <w:basedOn w:val="820"/>
    <w:link w:val="83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848">
    <w:name w:val="caption1"/>
    <w:basedOn w:val="820"/>
    <w:next w:val="820"/>
    <w:qFormat/>
    <w:pPr>
      <w:jc w:val="center"/>
    </w:pPr>
    <w:rPr>
      <w:rFonts w:ascii="Arial" w:hAnsi="Arial"/>
      <w:szCs w:val="20"/>
    </w:rPr>
  </w:style>
  <w:style w:type="paragraph" w:styleId="849">
    <w:name w:val="Колонтитул"/>
    <w:basedOn w:val="820"/>
    <w:qFormat/>
  </w:style>
  <w:style w:type="paragraph" w:styleId="850">
    <w:name w:val="Header"/>
    <w:basedOn w:val="820"/>
    <w:link w:val="831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1">
    <w:name w:val="Footer"/>
    <w:basedOn w:val="820"/>
    <w:link w:val="83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2">
    <w:name w:val="No Spacing"/>
    <w:qFormat/>
    <w:pPr>
      <w:jc w:val="left"/>
      <w:spacing w:before="0" w:after="0"/>
      <w:widowControl/>
    </w:pPr>
    <w:rPr>
      <w:rFonts w:ascii="Calibri" w:hAnsi="Calibri" w:eastAsia="Calibri" w:cs="Calibri"/>
      <w:color w:val="auto"/>
      <w:sz w:val="22"/>
      <w:szCs w:val="22"/>
      <w:lang w:val="ru-RU" w:eastAsia="ar-SA" w:bidi="ar-SA"/>
    </w:rPr>
  </w:style>
  <w:style w:type="paragraph" w:styleId="853" w:customStyle="1">
    <w:name w:val="Основной текст2"/>
    <w:basedOn w:val="820"/>
    <w:link w:val="834"/>
    <w:qFormat/>
    <w:pPr>
      <w:jc w:val="center"/>
      <w:spacing w:before="0" w:after="540" w:line="274" w:lineRule="exact"/>
      <w:shd w:val="clear" w:color="auto" w:fill="ffffff"/>
      <w:widowControl w:val="off"/>
    </w:pPr>
    <w:rPr>
      <w:sz w:val="22"/>
      <w:szCs w:val="22"/>
    </w:rPr>
  </w:style>
  <w:style w:type="paragraph" w:styleId="854">
    <w:name w:val="Содержимое врезки"/>
    <w:basedOn w:val="820"/>
    <w:qFormat/>
  </w:style>
  <w:style w:type="numbering" w:styleId="855" w:default="1">
    <w:name w:val="No List"/>
    <w:uiPriority w:val="99"/>
    <w:semiHidden/>
    <w:unhideWhenUsed/>
    <w:qFormat/>
  </w:style>
  <w:style w:type="table" w:styleId="856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57">
    <w:name w:val="Table Grid"/>
    <w:basedOn w:val="85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6FDE-C34C-432C-92EA-057B9903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xxl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В Е С Т К А    Д Н Я</dc:title>
  <dc:subject/>
  <dc:creator>marina</dc:creator>
  <dc:description/>
  <dc:language>ru-RU</dc:language>
  <cp:revision>12</cp:revision>
  <dcterms:created xsi:type="dcterms:W3CDTF">2021-12-29T11:04:00Z</dcterms:created>
  <dcterms:modified xsi:type="dcterms:W3CDTF">2025-03-29T07:18:33Z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