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CF" w:rsidRDefault="00967563">
      <w:pPr>
        <w:jc w:val="right"/>
        <w:rPr>
          <w:b/>
          <w:bCs/>
          <w:color w:val="000000" w:themeColor="text1"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  <w:u w:val="single"/>
        </w:rPr>
        <w:t>Проект</w:t>
      </w:r>
    </w:p>
    <w:p w:rsidR="00EE48CF" w:rsidRDefault="00967563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  <w:r>
        <w:rPr>
          <w:b w:val="0"/>
          <w:bCs w:val="0"/>
          <w:color w:val="000000" w:themeColor="text1"/>
          <w:szCs w:val="28"/>
        </w:rPr>
        <w:t>Приложение № 1</w:t>
      </w:r>
    </w:p>
    <w:p w:rsidR="00EE48CF" w:rsidRDefault="00967563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  <w:r>
        <w:rPr>
          <w:b w:val="0"/>
          <w:bCs w:val="0"/>
          <w:color w:val="000000" w:themeColor="text1"/>
          <w:szCs w:val="28"/>
        </w:rPr>
        <w:t>к приказу Миндортранса УР</w:t>
      </w:r>
    </w:p>
    <w:p w:rsidR="00EE48CF" w:rsidRDefault="00967563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  <w:r>
        <w:rPr>
          <w:b w:val="0"/>
          <w:bCs w:val="0"/>
          <w:color w:val="000000" w:themeColor="text1"/>
          <w:szCs w:val="28"/>
        </w:rPr>
        <w:t>от _______________ №________________</w:t>
      </w: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 w:val="24"/>
          <w:szCs w:val="24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 w:val="24"/>
          <w:szCs w:val="24"/>
        </w:rPr>
      </w:pPr>
    </w:p>
    <w:p w:rsidR="00EE48CF" w:rsidRDefault="00967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о правоприменительной практике Министерства транспорта и дорожного хозяйства Удмуртской Республики при осуществлении регионального государственного контроля </w:t>
      </w:r>
      <w:r>
        <w:rPr>
          <w:b/>
          <w:sz w:val="28"/>
          <w:szCs w:val="28"/>
        </w:rPr>
        <w:t>(надзора) на автомобильном транспорте, городском наземном электрическом транспорте и в дорожном хозяйстве на территории Удмуртской Республики за 2024 год</w:t>
      </w:r>
    </w:p>
    <w:p w:rsidR="00EE48CF" w:rsidRDefault="00EE48CF">
      <w:pPr>
        <w:jc w:val="both"/>
        <w:rPr>
          <w:sz w:val="28"/>
          <w:szCs w:val="28"/>
        </w:rPr>
      </w:pPr>
    </w:p>
    <w:p w:rsidR="00EE48CF" w:rsidRDefault="0096756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Составление ежегодного плана проверок юридических лиц и индивидуальных предпринимателей, его напра</w:t>
      </w:r>
      <w:r>
        <w:rPr>
          <w:color w:val="000000" w:themeColor="text1"/>
          <w:sz w:val="28"/>
          <w:szCs w:val="28"/>
        </w:rPr>
        <w:t>вление в органы прокуратуры и доработка по итогам рассмотрения в органах прокуратуры</w:t>
      </w:r>
    </w:p>
    <w:p w:rsidR="00EE48CF" w:rsidRDefault="00EE48CF">
      <w:pPr>
        <w:jc w:val="center"/>
        <w:rPr>
          <w:color w:val="000000" w:themeColor="text1"/>
          <w:sz w:val="28"/>
          <w:szCs w:val="28"/>
        </w:rPr>
      </w:pPr>
    </w:p>
    <w:p w:rsidR="00EE48CF" w:rsidRDefault="0096756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Подготовка проекта ежегодного плана проверок индивидуальных предпринимателей и юридических лиц (далее - ежегодный план проверок) осуществлялась в соответствии со ст. 9 Фе</w:t>
      </w:r>
      <w:r>
        <w:rPr>
          <w:color w:val="000000" w:themeColor="text1"/>
          <w:sz w:val="28"/>
          <w:szCs w:val="28"/>
        </w:rPr>
        <w:t>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ФЗ № 294)</w:t>
      </w:r>
      <w:r>
        <w:rPr>
          <w:sz w:val="28"/>
          <w:szCs w:val="28"/>
        </w:rPr>
        <w:t>. с учетом требований постановления Правительств</w:t>
      </w:r>
      <w:r>
        <w:rPr>
          <w:sz w:val="28"/>
          <w:szCs w:val="28"/>
        </w:rPr>
        <w:t xml:space="preserve">а Российской Федерации № 336 от 10.03.2022 года «Об особенностях организации и осуществления государственного контроля (надзора) муниципального контроля», в частности пункта 11.3 предписывающего включение </w:t>
      </w:r>
      <w:r>
        <w:rPr>
          <w:sz w:val="28"/>
          <w:szCs w:val="28"/>
        </w:rPr>
        <w:t>до 1 января 2030 г. в планы проведения плановых кон</w:t>
      </w:r>
      <w:r>
        <w:rPr>
          <w:sz w:val="28"/>
          <w:szCs w:val="28"/>
        </w:rPr>
        <w:t>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«О государственном контр</w:t>
      </w:r>
      <w:r>
        <w:rPr>
          <w:sz w:val="28"/>
          <w:szCs w:val="28"/>
        </w:rPr>
        <w:t>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</w:t>
      </w:r>
      <w:r>
        <w:rPr>
          <w:sz w:val="28"/>
          <w:szCs w:val="28"/>
        </w:rPr>
        <w:t>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EE48CF" w:rsidRDefault="009675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</w:t>
      </w:r>
      <w:r>
        <w:rPr>
          <w:sz w:val="28"/>
          <w:szCs w:val="28"/>
        </w:rPr>
        <w:t>нием Миндортранса УР от 24 мая 2023 г. № 0008/01-05 «О внесении изменения в распоряжение Министерства транспорта и дорожного хозяйства Удмуртской Республики от 29 сентября 2021 года № 0016/01-05 «Об отнесении объектов регионального контроля (надзора) на ав</w:t>
      </w:r>
      <w:r>
        <w:rPr>
          <w:sz w:val="28"/>
          <w:szCs w:val="28"/>
        </w:rPr>
        <w:t>томобильном транспорте, городском наземном электрическом транспорте и в дорожном хозяйстве на территории Удмуртской Республики к категориям риска» к высокой категории риска отнесены 27 объектов контроля (надзора). Чрезвычайно высокая категория риска, а так</w:t>
      </w:r>
      <w:r>
        <w:rPr>
          <w:sz w:val="28"/>
          <w:szCs w:val="28"/>
        </w:rPr>
        <w:t xml:space="preserve">же классы опасности Положением о региональном государственном контроле (надзоре) на автомобильном транспорте, городском </w:t>
      </w:r>
      <w:r>
        <w:rPr>
          <w:sz w:val="28"/>
          <w:szCs w:val="28"/>
        </w:rPr>
        <w:lastRenderedPageBreak/>
        <w:t xml:space="preserve">наземном электрическом транспорте и в дорожном хозяйстве на территории Удмуртской Республики, утвержденным постановлением Правительства </w:t>
      </w:r>
      <w:r>
        <w:rPr>
          <w:sz w:val="28"/>
          <w:szCs w:val="28"/>
        </w:rPr>
        <w:t>Удмуртской Республики от 17 сентября 2021 года № 490, не предусмотрены.</w:t>
      </w:r>
    </w:p>
    <w:p w:rsidR="00EE48CF" w:rsidRDefault="009675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объекты контроля были включены в проект ежегодного плана проведения плановых проверок юридических лиц и индивидуальных предпринимателей на 2024 год.</w:t>
      </w:r>
    </w:p>
    <w:p w:rsidR="00EE48CF" w:rsidRDefault="009675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нарушениями</w:t>
      </w:r>
      <w:r>
        <w:rPr>
          <w:sz w:val="28"/>
          <w:szCs w:val="28"/>
        </w:rPr>
        <w:t xml:space="preserve"> при составлении проекта ежегодного плана проверок все плановые проверки на 2025 год были исключены.</w:t>
      </w:r>
    </w:p>
    <w:p w:rsidR="00EE48CF" w:rsidRDefault="00EE48CF">
      <w:pPr>
        <w:ind w:firstLine="709"/>
        <w:jc w:val="both"/>
        <w:rPr>
          <w:sz w:val="28"/>
          <w:szCs w:val="28"/>
        </w:rPr>
      </w:pPr>
    </w:p>
    <w:p w:rsidR="00EE48CF" w:rsidRDefault="00EE48CF">
      <w:pPr>
        <w:jc w:val="center"/>
        <w:rPr>
          <w:color w:val="000000" w:themeColor="text1"/>
          <w:sz w:val="28"/>
          <w:szCs w:val="28"/>
        </w:rPr>
      </w:pPr>
    </w:p>
    <w:p w:rsidR="00EE48CF" w:rsidRDefault="0096756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Разработка и издание решений о проведении контрольных (надзорных) мероприятий</w:t>
      </w:r>
    </w:p>
    <w:p w:rsidR="00EE48CF" w:rsidRDefault="00EE48CF">
      <w:pPr>
        <w:jc w:val="both"/>
        <w:rPr>
          <w:color w:val="000000" w:themeColor="text1"/>
          <w:sz w:val="28"/>
          <w:szCs w:val="28"/>
        </w:rPr>
      </w:pP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Проекты решений о проведении контрольных (надзорных) мероприятий подгот</w:t>
      </w:r>
      <w:r>
        <w:rPr>
          <w:color w:val="000000" w:themeColor="text1"/>
          <w:sz w:val="28"/>
          <w:szCs w:val="28"/>
        </w:rPr>
        <w:t>авливаются в соответствии с типовыми формами решений о проведении контрольных (надзорных) мероприятий, утвержденных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Оформленн</w:t>
      </w:r>
      <w:r>
        <w:rPr>
          <w:color w:val="000000" w:themeColor="text1"/>
          <w:sz w:val="28"/>
          <w:szCs w:val="28"/>
        </w:rPr>
        <w:t>ый проект решения о проведении контрольного (надзорного) мероприятия направляется министру (заместителю министра) для подписания. После подписания проекта решения о проведении контрольного (надзорного) мероприятия передается специалисту Министерства, ответ</w:t>
      </w:r>
      <w:r>
        <w:rPr>
          <w:color w:val="000000" w:themeColor="text1"/>
          <w:sz w:val="28"/>
          <w:szCs w:val="28"/>
        </w:rPr>
        <w:t>ственному за организацию и ведение делопроизводства, для его регистрации. Специалист Министерства, ответственный за организацию и ведение делопроизводства, в этот же день регистрирует решение о проведении контрольного (надзорного) мероприятия.</w:t>
      </w: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регист</w:t>
      </w:r>
      <w:r>
        <w:rPr>
          <w:color w:val="000000" w:themeColor="text1"/>
          <w:sz w:val="28"/>
          <w:szCs w:val="28"/>
        </w:rPr>
        <w:t>рации решение о проведении контрольного (надзорного) мероприятия направляется должностному лицу, уполномоченному на проведение контрольного (надзорного) мероприятия для  уведомления контролируемого лица с проводимым контрольным (надзорным) мероприятием,  а</w:t>
      </w:r>
      <w:r>
        <w:rPr>
          <w:color w:val="000000" w:themeColor="text1"/>
          <w:sz w:val="28"/>
          <w:szCs w:val="28"/>
        </w:rPr>
        <w:t xml:space="preserve"> также для размещения необходимых сведений едином реестре контрольных (надзорных) мероприятий.</w:t>
      </w:r>
    </w:p>
    <w:p w:rsidR="00EE48CF" w:rsidRDefault="00EE48CF">
      <w:pPr>
        <w:jc w:val="both"/>
        <w:rPr>
          <w:color w:val="000000" w:themeColor="text1"/>
          <w:sz w:val="28"/>
          <w:szCs w:val="28"/>
        </w:rPr>
      </w:pPr>
    </w:p>
    <w:p w:rsidR="00EE48CF" w:rsidRDefault="0096756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Исчисление и соблюдение сроков проведения контрольных (надзорных) мероприятий</w:t>
      </w:r>
    </w:p>
    <w:p w:rsidR="00EE48CF" w:rsidRDefault="00EE48CF">
      <w:pPr>
        <w:jc w:val="both"/>
        <w:rPr>
          <w:color w:val="000000" w:themeColor="text1"/>
          <w:sz w:val="28"/>
          <w:szCs w:val="28"/>
        </w:rPr>
      </w:pP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Сроки проведения контрольных (надзорных) мероприятий регламентированы Федераль</w:t>
      </w:r>
      <w:r>
        <w:rPr>
          <w:color w:val="000000" w:themeColor="text1"/>
          <w:sz w:val="28"/>
          <w:szCs w:val="28"/>
        </w:rPr>
        <w:t>ным законом от 31.07.2020 г. № 248-ФЗ «О государственном контроле (надзоре) и муниципальном контроле в Российской Федерации», а также постановлением Правительства Удмуртской Республики от 17.09.2021 г. № 490 «Об утверждении Положения о региональном государ</w:t>
      </w:r>
      <w:r>
        <w:rPr>
          <w:color w:val="000000" w:themeColor="text1"/>
          <w:sz w:val="28"/>
          <w:szCs w:val="28"/>
        </w:rPr>
        <w:t>ственном контроле (надзоре) на автомобильном транспорте, городском наземном электрическом транспорте и в дорожном хозяйстве на территории Удмуртской Республики».</w:t>
      </w: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Решения о проведении контрольных (надзорных) мероприятий доведены до контролируемых лиц </w:t>
      </w:r>
      <w:r>
        <w:rPr>
          <w:color w:val="000000" w:themeColor="text1"/>
          <w:sz w:val="28"/>
          <w:szCs w:val="28"/>
        </w:rPr>
        <w:t xml:space="preserve">своевременно. Информирование контролируемых лиц о проведении контрольных (надзорных) мероприятий осуществляется в </w:t>
      </w:r>
      <w:r>
        <w:rPr>
          <w:color w:val="000000" w:themeColor="text1"/>
          <w:sz w:val="28"/>
          <w:szCs w:val="28"/>
        </w:rPr>
        <w:lastRenderedPageBreak/>
        <w:t>соответствии со ст. 21 Федерального закона от 31.07.2020 г. № 248-ФЗ «О государственном контроле (надзоре) и муниципальном контроле в Российск</w:t>
      </w:r>
      <w:r>
        <w:rPr>
          <w:color w:val="000000" w:themeColor="text1"/>
          <w:sz w:val="28"/>
          <w:szCs w:val="28"/>
        </w:rPr>
        <w:t>ой Федерации». Преимущественно информирование осуществляется посредством размещения информации в едином реестре контрольных (надзорных) мероприятий, посредством почтовой корреспонденции и электронной почты.</w:t>
      </w:r>
    </w:p>
    <w:p w:rsidR="00EE48CF" w:rsidRDefault="00967563">
      <w:pPr>
        <w:pStyle w:val="a6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Миндортранс УР при осуществлении контроля (надзор</w:t>
      </w:r>
      <w:r>
        <w:rPr>
          <w:rFonts w:ascii="PT Astra Serif" w:hAnsi="PT Astra Serif"/>
          <w:color w:val="000000" w:themeColor="text1"/>
          <w:sz w:val="28"/>
          <w:szCs w:val="28"/>
        </w:rPr>
        <w:t>а) в соответствии с п</w:t>
      </w:r>
      <w:r>
        <w:rPr>
          <w:rFonts w:ascii="PT Astra Serif" w:hAnsi="PT Astra Serif"/>
          <w:color w:val="000000"/>
          <w:sz w:val="28"/>
          <w:szCs w:val="28"/>
        </w:rPr>
        <w:t>остановлением Правительства УР от 17.09.2021 г. N 490 "</w:t>
      </w:r>
      <w:r>
        <w:rPr>
          <w:rFonts w:ascii="PT Astra Serif" w:hAnsi="PT Astra Serif"/>
          <w:color w:val="000000"/>
          <w:sz w:val="28"/>
          <w:szCs w:val="28"/>
        </w:rPr>
        <w:t xml:space="preserve">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Удмуртской Республики" </w:t>
      </w:r>
      <w:r>
        <w:rPr>
          <w:rFonts w:ascii="PT Astra Serif" w:hAnsi="PT Astra Serif"/>
          <w:color w:val="000000" w:themeColor="text1"/>
          <w:sz w:val="28"/>
          <w:szCs w:val="28"/>
        </w:rPr>
        <w:t>относит объекты контроля (надзора), указанные к одной из следующих катего</w:t>
      </w:r>
      <w:r>
        <w:rPr>
          <w:rFonts w:ascii="PT Astra Serif" w:hAnsi="PT Astra Serif"/>
          <w:color w:val="000000" w:themeColor="text1"/>
          <w:sz w:val="28"/>
          <w:szCs w:val="28"/>
        </w:rPr>
        <w:t>рий риска:</w:t>
      </w:r>
    </w:p>
    <w:p w:rsidR="00EE48CF" w:rsidRDefault="00967563">
      <w:pPr>
        <w:pStyle w:val="a6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высокий риск; </w:t>
      </w:r>
    </w:p>
    <w:p w:rsidR="00EE48CF" w:rsidRDefault="00967563">
      <w:pPr>
        <w:pStyle w:val="a6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средний риск; </w:t>
      </w:r>
    </w:p>
    <w:p w:rsidR="00EE48CF" w:rsidRDefault="00967563">
      <w:pPr>
        <w:pStyle w:val="a6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низкий риск. </w:t>
      </w:r>
    </w:p>
    <w:p w:rsidR="00EE48CF" w:rsidRDefault="009675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Условия отнесения объектов контроля к той или иной категории риска приведены в вышеуказанном постановлении Правительства УР от 17.09.2021 г. № 490.</w:t>
      </w:r>
    </w:p>
    <w:p w:rsidR="00EE48CF" w:rsidRDefault="00967563">
      <w:pPr>
        <w:pStyle w:val="a6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Контрольный (надзорный) орган при осуществле</w:t>
      </w:r>
      <w:r>
        <w:rPr>
          <w:rFonts w:ascii="PT Astra Serif" w:hAnsi="PT Astra Serif"/>
          <w:color w:val="000000" w:themeColor="text1"/>
          <w:sz w:val="28"/>
          <w:szCs w:val="28"/>
        </w:rPr>
        <w:t>нии контроля (надзора) относит объекты контроля (надзора), указанные в пункте 6 настоящего Положения, к одной из следующих категорий риска:</w:t>
      </w:r>
    </w:p>
    <w:p w:rsidR="00EE48CF" w:rsidRDefault="00967563">
      <w:pPr>
        <w:pStyle w:val="a6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высокий риск; </w:t>
      </w:r>
    </w:p>
    <w:p w:rsidR="00EE48CF" w:rsidRDefault="00967563">
      <w:pPr>
        <w:pStyle w:val="a6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средний риск; </w:t>
      </w:r>
    </w:p>
    <w:p w:rsidR="00EE48CF" w:rsidRDefault="00967563">
      <w:pPr>
        <w:pStyle w:val="a6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низкий риск. </w:t>
      </w:r>
    </w:p>
    <w:p w:rsidR="00EE48CF" w:rsidRDefault="00967563">
      <w:pPr>
        <w:pStyle w:val="a6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плановых контрольных (надзорных) мероприятий в отнош</w:t>
      </w:r>
      <w:r>
        <w:rPr>
          <w:rFonts w:ascii="PT Astra Serif" w:hAnsi="PT Astra Serif"/>
          <w:sz w:val="28"/>
          <w:szCs w:val="28"/>
        </w:rPr>
        <w:t>ении объектов контроля (надзора) в зависимости от присвоенной категории риска причинения вреда (ущерба) осуществляется со следующей периодичностью:</w:t>
      </w:r>
    </w:p>
    <w:p w:rsidR="00EE48CF" w:rsidRDefault="00967563">
      <w:pPr>
        <w:pStyle w:val="a6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высокий риск причинения вреда (ущерба) - одна выездная или одна документарная проверка, или один инспекционн</w:t>
      </w:r>
      <w:r>
        <w:rPr>
          <w:rFonts w:ascii="PT Astra Serif" w:hAnsi="PT Astra Serif"/>
          <w:sz w:val="28"/>
          <w:szCs w:val="28"/>
        </w:rPr>
        <w:t xml:space="preserve">ый визит в 2 года, или одно выездное обследование в 2 года, или один рейдовый осмотр в 2 года; </w:t>
      </w:r>
    </w:p>
    <w:p w:rsidR="00EE48CF" w:rsidRDefault="00967563">
      <w:pPr>
        <w:pStyle w:val="a6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средний риск причинения вреда (ущерба) - одна выездная или одна документарная проверка, или один инспекционный визит в 3 года, или одно выездное обследование в </w:t>
      </w:r>
      <w:r>
        <w:rPr>
          <w:rFonts w:ascii="PT Astra Serif" w:hAnsi="PT Astra Serif"/>
          <w:sz w:val="28"/>
          <w:szCs w:val="28"/>
        </w:rPr>
        <w:t xml:space="preserve">3 года, или один рейдовый осмотр в 3 года. </w:t>
      </w:r>
    </w:p>
    <w:p w:rsidR="00EE48CF" w:rsidRDefault="00EE48CF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8CF" w:rsidRDefault="00EE48CF">
      <w:pPr>
        <w:rPr>
          <w:color w:val="000000" w:themeColor="text1"/>
          <w:sz w:val="28"/>
          <w:szCs w:val="28"/>
        </w:rPr>
      </w:pPr>
    </w:p>
    <w:p w:rsidR="00EE48CF" w:rsidRDefault="0096756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Оформление результатов контрольных (надзорных) мероприятий и принятие мер по их результатам</w:t>
      </w:r>
    </w:p>
    <w:p w:rsidR="00EE48CF" w:rsidRDefault="00EE48CF">
      <w:pPr>
        <w:rPr>
          <w:color w:val="000000" w:themeColor="text1"/>
          <w:sz w:val="28"/>
          <w:szCs w:val="28"/>
        </w:rPr>
      </w:pP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окончании проведения контрольного (надзорного) мероприятия, предусматривающего взаимодействие с контролируемым </w:t>
      </w:r>
      <w:r>
        <w:rPr>
          <w:color w:val="000000" w:themeColor="text1"/>
          <w:sz w:val="28"/>
          <w:szCs w:val="28"/>
        </w:rPr>
        <w:t>лицом, составляется акт контрольного (надзорного) мероприятия в соответствии с формой,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случае, если по результ</w:t>
      </w:r>
      <w:r>
        <w:rPr>
          <w:color w:val="000000" w:themeColor="text1"/>
          <w:sz w:val="28"/>
          <w:szCs w:val="28"/>
        </w:rPr>
        <w:t xml:space="preserve">атам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</w:t>
      </w:r>
      <w:r>
        <w:rPr>
          <w:color w:val="000000" w:themeColor="text1"/>
          <w:sz w:val="28"/>
          <w:szCs w:val="28"/>
        </w:rPr>
        <w:lastRenderedPageBreak/>
        <w:t>оконча</w:t>
      </w:r>
      <w:r>
        <w:rPr>
          <w:color w:val="000000" w:themeColor="text1"/>
          <w:sz w:val="28"/>
          <w:szCs w:val="28"/>
        </w:rPr>
        <w:t xml:space="preserve">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</w:t>
      </w:r>
      <w:r>
        <w:rPr>
          <w:color w:val="000000" w:themeColor="text1"/>
          <w:sz w:val="28"/>
          <w:szCs w:val="28"/>
        </w:rPr>
        <w:t xml:space="preserve">акту. </w:t>
      </w: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(надзорно</w:t>
      </w:r>
      <w:r>
        <w:rPr>
          <w:color w:val="000000" w:themeColor="text1"/>
          <w:sz w:val="28"/>
          <w:szCs w:val="28"/>
        </w:rPr>
        <w:t>го) мероприятия, за исключением случаев проведения документарной проверки либо контрольного (надзорного) мероприятия без взаимодействия с контролируемым лицом.</w:t>
      </w: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отсутствия выявленных нарушений обязательных требований при проведении контрольного (на</w:t>
      </w:r>
      <w:r>
        <w:rPr>
          <w:color w:val="000000" w:themeColor="text1"/>
          <w:sz w:val="28"/>
          <w:szCs w:val="28"/>
        </w:rPr>
        <w:t>дзорного) мероприятия сведения об этом вносятся в единый реестр контрольных (надзорных) мероприятий. Уполномоченное на проведение контрольного (надзорного) мероприятия лицо вправе выдать рекомендации по соблюдению обязательных требований, провести иные мер</w:t>
      </w:r>
      <w:r>
        <w:rPr>
          <w:color w:val="000000" w:themeColor="text1"/>
          <w:sz w:val="28"/>
          <w:szCs w:val="28"/>
        </w:rPr>
        <w:t>оприятия, направленные на профилактику рисков причинения вреда (ущерба) охраняемым законом ценностям.</w:t>
      </w: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контролируемым лицом, должностным лицом Министер</w:t>
      </w:r>
      <w:r>
        <w:rPr>
          <w:color w:val="000000" w:themeColor="text1"/>
          <w:sz w:val="28"/>
          <w:szCs w:val="28"/>
        </w:rPr>
        <w:t>ства, уполномоченным на проведение контрольного (надзорного) мероприятия, выдается контролируемому лицу после оформления акта контрольного (надзорного) мероприятия предписание об устранении выявленных нарушений с указанием разумных сроков их устранения и (</w:t>
      </w:r>
      <w:r>
        <w:rPr>
          <w:color w:val="000000" w:themeColor="text1"/>
          <w:sz w:val="28"/>
          <w:szCs w:val="28"/>
        </w:rPr>
        <w:t>или) о проведении мероприятий по предотвращению причинения вреда (ущерба) охраняемым законом ценностям, а также принимаются иные меры (при наличии оснований), указанные в ст. 90 Федерального закона от 31.07.2020 г. № 248-ФЗ «О государственном контроле (над</w:t>
      </w:r>
      <w:r>
        <w:rPr>
          <w:color w:val="000000" w:themeColor="text1"/>
          <w:sz w:val="28"/>
          <w:szCs w:val="28"/>
        </w:rPr>
        <w:t>зоре) и муниципальном контроле в Российской Федерации».</w:t>
      </w:r>
    </w:p>
    <w:p w:rsidR="00EE48CF" w:rsidRDefault="00EE48CF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8CF" w:rsidRDefault="00EE48CF">
      <w:pPr>
        <w:rPr>
          <w:color w:val="000000" w:themeColor="text1"/>
          <w:sz w:val="28"/>
          <w:szCs w:val="28"/>
        </w:rPr>
      </w:pPr>
    </w:p>
    <w:p w:rsidR="00EE48CF" w:rsidRDefault="0096756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Привлечение контролируемых лиц к административной ответственности за административные правонарушения, выявленные при осуществлении регионального государственного контроля (надзора)</w:t>
      </w:r>
    </w:p>
    <w:p w:rsidR="00EE48CF" w:rsidRDefault="00EE48CF">
      <w:pPr>
        <w:rPr>
          <w:color w:val="000000" w:themeColor="text1"/>
          <w:sz w:val="28"/>
          <w:szCs w:val="28"/>
        </w:rPr>
      </w:pP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</w:t>
      </w:r>
      <w:r>
        <w:rPr>
          <w:color w:val="000000" w:themeColor="text1"/>
          <w:sz w:val="28"/>
          <w:szCs w:val="28"/>
        </w:rPr>
        <w:t>исключением проверок из проекта плана проверок на 2024 год при осуществлении регионального государственного контроля (надзора) на автомобильном транспорте, городском наземном электрическом транспорте ив дорожном хозяйстве на территории Удмуртской Республик</w:t>
      </w:r>
      <w:r>
        <w:rPr>
          <w:color w:val="000000" w:themeColor="text1"/>
          <w:sz w:val="28"/>
          <w:szCs w:val="28"/>
        </w:rPr>
        <w:t>и фактов привлечения контролируемых лиц к административной ответственности за административные правонарушения, выявленные при осуществлении контроля (надзора), не имелось.</w:t>
      </w:r>
    </w:p>
    <w:p w:rsidR="00EE48CF" w:rsidRDefault="00967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частыми нарушениями обязательных требований являются:</w:t>
      </w:r>
    </w:p>
    <w:p w:rsidR="00EE48CF" w:rsidRDefault="00967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твердых </w:t>
      </w:r>
      <w:r>
        <w:rPr>
          <w:sz w:val="28"/>
          <w:szCs w:val="28"/>
        </w:rPr>
        <w:t>покрытий на съездах с примыканиями, что является нарушением ч. 3 ст. 20 Федерального закона от 08.11.2007 г. № 257- ФЗ, пунктов 6.17, 8.4.СП 34.13330.2021. Свод правил. Автомобильные дороги. СНиП 2.05.02-85;</w:t>
      </w:r>
    </w:p>
    <w:p w:rsidR="00EE48CF" w:rsidRDefault="00967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отсутствие укрепленных обочин на съездах, что </w:t>
      </w:r>
      <w:r>
        <w:rPr>
          <w:sz w:val="28"/>
          <w:szCs w:val="28"/>
        </w:rPr>
        <w:t>является нарушением п. 6.17 СП 34.13330.2021. Свод правил. Автомобильные дороги. СНиП 2.05.02-85;</w:t>
      </w:r>
    </w:p>
    <w:p w:rsidR="00EE48CF" w:rsidRDefault="00967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под съездами водопропускных труб, увязанных с существующими системами водоотвода от автодорог, что является нарушением п. 5.5.14 ГОСТ Р 52766-200</w:t>
      </w:r>
      <w:r>
        <w:rPr>
          <w:sz w:val="28"/>
          <w:szCs w:val="28"/>
        </w:rPr>
        <w:t>7. Дороги автомобильные общего пользования. Элементы обустройства. Общие требования.</w:t>
      </w:r>
    </w:p>
    <w:p w:rsidR="00EE48CF" w:rsidRDefault="00967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радиус кривых при сопряжении автодороги в месте примыкания в одном уровне, что не соответствует п. 6.13 СП 34.13330.2021. Свод правил. Автомобильные дороги. СНиП 2.05.02</w:t>
      </w:r>
      <w:r>
        <w:rPr>
          <w:sz w:val="28"/>
          <w:szCs w:val="28"/>
        </w:rPr>
        <w:t>-85;</w:t>
      </w:r>
    </w:p>
    <w:p w:rsidR="00EE48CF" w:rsidRDefault="00967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дорожного знака 2.4 «Уступите дорогу», что не соответствует ГОСТ Р 52289-2004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устройств;</w:t>
      </w:r>
    </w:p>
    <w:p w:rsidR="00EE48CF" w:rsidRDefault="00967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</w:t>
      </w:r>
      <w:r>
        <w:rPr>
          <w:sz w:val="28"/>
          <w:szCs w:val="28"/>
        </w:rPr>
        <w:t>оектная документация по строительству съездов с автомобильных дорог не согласована с владельцем автомобильной дороги, что не соответствует ст. 760 ГК РФ;</w:t>
      </w:r>
    </w:p>
    <w:p w:rsidR="00EE48CF" w:rsidRDefault="00967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дорожные знаки установлены в нарушение соответствующих ГОСТ;</w:t>
      </w:r>
    </w:p>
    <w:p w:rsidR="00EE48CF" w:rsidRDefault="00967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установленного расписания —</w:t>
      </w:r>
      <w:r>
        <w:rPr>
          <w:sz w:val="28"/>
          <w:szCs w:val="28"/>
        </w:rPr>
        <w:t xml:space="preserve"> приложения к Свидетельству </w:t>
      </w:r>
      <w:proofErr w:type="spellStart"/>
      <w:r>
        <w:rPr>
          <w:sz w:val="28"/>
          <w:szCs w:val="28"/>
        </w:rPr>
        <w:t>тоб</w:t>
      </w:r>
      <w:proofErr w:type="spellEnd"/>
      <w:r>
        <w:rPr>
          <w:sz w:val="28"/>
          <w:szCs w:val="28"/>
        </w:rPr>
        <w:t xml:space="preserve"> осуществлении перевозок по маршруту регулярных перевозок, выдаваемому </w:t>
      </w:r>
      <w:proofErr w:type="spellStart"/>
      <w:r>
        <w:rPr>
          <w:sz w:val="28"/>
          <w:szCs w:val="28"/>
        </w:rPr>
        <w:t>Миндортрансом</w:t>
      </w:r>
      <w:proofErr w:type="spellEnd"/>
      <w:r>
        <w:rPr>
          <w:sz w:val="28"/>
          <w:szCs w:val="28"/>
        </w:rPr>
        <w:t xml:space="preserve"> УР.</w:t>
      </w:r>
    </w:p>
    <w:p w:rsidR="00EE48CF" w:rsidRDefault="00967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Эксперты и представители экспертных организаций в 2024 году не привлекались к проведению контрольных (надзорных) мероприятий, информация</w:t>
      </w:r>
      <w:r>
        <w:rPr>
          <w:sz w:val="28"/>
          <w:szCs w:val="28"/>
        </w:rPr>
        <w:t xml:space="preserve"> о случаях причинения контролируемыми лицами, в отношении которых осуществляются контрольные (надзорные) мероприятия, вреда жизни и здоровью граждан, вреда животным, растениям, окружающей среде, объектам культурного наследия (памятникам истории и культуры)</w:t>
      </w:r>
      <w:r>
        <w:rPr>
          <w:sz w:val="28"/>
          <w:szCs w:val="28"/>
        </w:rPr>
        <w:t xml:space="preserve">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 в 2024 году в Министерство не поступала.</w:t>
      </w: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итогам проведенного обобщен</w:t>
      </w:r>
      <w:r>
        <w:rPr>
          <w:color w:val="000000" w:themeColor="text1"/>
          <w:sz w:val="28"/>
          <w:szCs w:val="28"/>
        </w:rPr>
        <w:t>ия практики осуществления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Удмуртской Республики данное обобщение требуется разместить на официал</w:t>
      </w:r>
      <w:r>
        <w:rPr>
          <w:color w:val="000000" w:themeColor="text1"/>
          <w:sz w:val="28"/>
          <w:szCs w:val="28"/>
        </w:rPr>
        <w:t>ьном сайте Министерства для ознакомления контролируемых лиц с целью предупреждения дальнейших нарушений технических требований и условий, подлежащих обязательному исполнению.</w:t>
      </w:r>
    </w:p>
    <w:p w:rsidR="00EE48CF" w:rsidRDefault="00EE48CF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8CF" w:rsidRDefault="00967563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Информация о проведенных профилактических мероприятиях в отношении подконтрол</w:t>
      </w:r>
      <w:r>
        <w:rPr>
          <w:color w:val="000000" w:themeColor="text1"/>
          <w:sz w:val="28"/>
          <w:szCs w:val="28"/>
        </w:rPr>
        <w:t>ьных субъектов</w:t>
      </w:r>
    </w:p>
    <w:p w:rsidR="00EE48CF" w:rsidRDefault="00EE48CF">
      <w:pPr>
        <w:ind w:firstLine="709"/>
        <w:jc w:val="center"/>
        <w:rPr>
          <w:color w:val="000000" w:themeColor="text1"/>
          <w:sz w:val="28"/>
          <w:szCs w:val="28"/>
        </w:rPr>
      </w:pPr>
    </w:p>
    <w:p w:rsidR="00EE48CF" w:rsidRDefault="00967563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 году были проведены следующие профилактические мероприятия в отношении поднадзорных субъектов:</w:t>
      </w: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Обеспечено размещение на </w:t>
      </w:r>
      <w:r>
        <w:rPr>
          <w:sz w:val="28"/>
          <w:szCs w:val="28"/>
        </w:rPr>
        <w:t>официальном сайте Миндортранса</w:t>
      </w:r>
      <w:r>
        <w:rPr>
          <w:color w:val="000000" w:themeColor="text1"/>
          <w:sz w:val="28"/>
          <w:szCs w:val="28"/>
        </w:rPr>
        <w:t xml:space="preserve"> УР перечней нормативных правовых актов или их отдельных частей, содержащих обяза</w:t>
      </w:r>
      <w:r>
        <w:rPr>
          <w:color w:val="000000" w:themeColor="text1"/>
          <w:sz w:val="28"/>
          <w:szCs w:val="28"/>
        </w:rPr>
        <w:t xml:space="preserve">тельные требования, оценка соблюдения которых является предметом регионального государственного контроля (надзора) на автомобильном </w:t>
      </w:r>
      <w:r>
        <w:rPr>
          <w:color w:val="000000" w:themeColor="text1"/>
          <w:sz w:val="28"/>
          <w:szCs w:val="28"/>
        </w:rPr>
        <w:lastRenderedPageBreak/>
        <w:t xml:space="preserve">транспорте, городском наземном электрическом транспорте и в дорожном хозяйстве на территории Удмуртской Республики, а также </w:t>
      </w:r>
      <w:r>
        <w:rPr>
          <w:color w:val="000000" w:themeColor="text1"/>
          <w:sz w:val="28"/>
          <w:szCs w:val="28"/>
        </w:rPr>
        <w:t>текстов соответствующих нормативных правовых актов;</w:t>
      </w: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Осуществлено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</w:t>
      </w:r>
      <w:r>
        <w:rPr>
          <w:color w:val="000000" w:themeColor="text1"/>
          <w:sz w:val="28"/>
          <w:szCs w:val="28"/>
        </w:rPr>
        <w:t>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Обеспечено регулярное обобщение практики осуществления регионального государственного контроля (надзора) на автомобильно</w:t>
      </w:r>
      <w:r>
        <w:rPr>
          <w:color w:val="000000" w:themeColor="text1"/>
          <w:sz w:val="28"/>
          <w:szCs w:val="28"/>
        </w:rPr>
        <w:t>м транспорте, городском наземном электрическом транспорте и в дорожном хозяйстве на территории Удмуртской Республики и размещение на официальном сайте Миндортранса УР соответствующих обобщений, в том числе с указанием наиболее часто встречающихся случаев н</w:t>
      </w:r>
      <w:r>
        <w:rPr>
          <w:color w:val="000000" w:themeColor="text1"/>
          <w:sz w:val="28"/>
          <w:szCs w:val="28"/>
        </w:rPr>
        <w:t>арушений обязательных требований, 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rFonts w:ascii="PT Astra Serif" w:hAnsi="PT Astra Serif"/>
          <w:color w:val="000000" w:themeColor="text1"/>
          <w:sz w:val="28"/>
          <w:szCs w:val="28"/>
        </w:rPr>
        <w:t>проведено 37 профилактических мероприятий, из них 19 профилактичес</w:t>
      </w:r>
      <w:r>
        <w:rPr>
          <w:rFonts w:ascii="PT Astra Serif" w:hAnsi="PT Astra Serif"/>
          <w:color w:val="000000" w:themeColor="text1"/>
          <w:sz w:val="28"/>
          <w:szCs w:val="28"/>
        </w:rPr>
        <w:t>ких (обязательных профилактических) визитов. О</w:t>
      </w:r>
      <w:r>
        <w:rPr>
          <w:color w:val="000000" w:themeColor="text1"/>
          <w:sz w:val="28"/>
          <w:szCs w:val="28"/>
        </w:rPr>
        <w:t>бъявлено 18 предостережений о недопустимости нарушения обязательных требований.</w:t>
      </w:r>
    </w:p>
    <w:p w:rsidR="00EE48CF" w:rsidRDefault="00EE48CF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8CF" w:rsidRDefault="00967563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7. Рекомендации контролируемым лицам по проведению мероприятий, направленных на устранение причин совершения наиболее часто встре</w:t>
      </w:r>
      <w:r>
        <w:rPr>
          <w:sz w:val="28"/>
          <w:szCs w:val="28"/>
        </w:rPr>
        <w:t>чающихся нарушений обязательных требований</w:t>
      </w:r>
    </w:p>
    <w:p w:rsidR="00EE48CF" w:rsidRDefault="00EE48CF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8CF" w:rsidRDefault="009675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предупреждения совершения нарушений поднадзорными субъектами считаем целесообразным дать следующие рекомендации.</w:t>
      </w:r>
    </w:p>
    <w:p w:rsidR="00EE48CF" w:rsidRDefault="0096756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В целях недопущения нарушений при строительстве (обустройстве) съездов, примыканий с </w:t>
      </w:r>
      <w:r>
        <w:rPr>
          <w:color w:val="000000" w:themeColor="text1"/>
          <w:sz w:val="28"/>
          <w:szCs w:val="28"/>
        </w:rPr>
        <w:t>автомобильных дорог регионального и межмуниципального значения Удмуртской Республики рекомендуем выполнять работы в соответствии с выданными техническими условиями, а также в соответствии с обязательными требованиями (</w:t>
      </w:r>
      <w:r>
        <w:rPr>
          <w:sz w:val="28"/>
          <w:szCs w:val="28"/>
        </w:rPr>
        <w:t xml:space="preserve">ч. 3, ст. 20 </w:t>
      </w:r>
      <w:r>
        <w:rPr>
          <w:iCs/>
          <w:sz w:val="28"/>
          <w:szCs w:val="28"/>
        </w:rPr>
        <w:t>Федерального закона № 257</w:t>
      </w:r>
      <w:r>
        <w:rPr>
          <w:iCs/>
          <w:sz w:val="28"/>
          <w:szCs w:val="28"/>
        </w:rPr>
        <w:t xml:space="preserve">-ФЗ; </w:t>
      </w:r>
      <w:r>
        <w:rPr>
          <w:color w:val="000000" w:themeColor="text1"/>
          <w:sz w:val="28"/>
          <w:szCs w:val="28"/>
        </w:rPr>
        <w:t xml:space="preserve">п. 6.13, п. 6.17, п. 8.4.СП 34.13330.2021. Свод правил. Автомобильные дороги. СНиП 2.05.02-85, п. 5.5.14 </w:t>
      </w:r>
      <w:r>
        <w:rPr>
          <w:sz w:val="28"/>
          <w:szCs w:val="28"/>
        </w:rPr>
        <w:t>ГОСТ Р 52766-2007, ГОСТ Р 52289-2019</w:t>
      </w:r>
      <w:r>
        <w:rPr>
          <w:color w:val="000000" w:themeColor="text1"/>
          <w:sz w:val="28"/>
          <w:szCs w:val="28"/>
        </w:rPr>
        <w:t>). Помимо этого согласно п.1 ст. 760 ГК РФ проектная документация по строительству (обустройству) съездов и пр</w:t>
      </w:r>
      <w:r>
        <w:rPr>
          <w:color w:val="000000" w:themeColor="text1"/>
          <w:sz w:val="28"/>
          <w:szCs w:val="28"/>
        </w:rPr>
        <w:t>имыканий должна быть согласована с владельцем автомобильной дороги;</w:t>
      </w:r>
    </w:p>
    <w:p w:rsidR="00EE48CF" w:rsidRDefault="0096756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целях недопущения нарушений при прокладке, переустройстве, переносе инженерных коммуникаций, их эксплуатация в границах полос отвода и придорожных полос автомобильных дорог инженерных</w:t>
      </w:r>
      <w:r>
        <w:rPr>
          <w:color w:val="000000" w:themeColor="text1"/>
          <w:sz w:val="28"/>
          <w:szCs w:val="28"/>
        </w:rPr>
        <w:t xml:space="preserve"> коммуникаций в полосе отвода автомобильных дорог регионального и межмуниципального значения Удмуртской Республики рекомендуем выполнять работы в соответствии с выданными техническими условиями, а также в соответствии с обязательными требованиями (ст. 19 Ф</w:t>
      </w:r>
      <w:r>
        <w:rPr>
          <w:color w:val="000000" w:themeColor="text1"/>
          <w:sz w:val="28"/>
          <w:szCs w:val="28"/>
        </w:rPr>
        <w:t xml:space="preserve">едерального закона № 257-ФЗ; ст. 5 Федерального закона от 11.07.2011 г. № 193-ФЗ «О внесении изменений в Федеральный закон «Об автомобильных дорогах и о дорожной деятельности в Российской Федерации и о </w:t>
      </w:r>
      <w:r>
        <w:rPr>
          <w:color w:val="000000" w:themeColor="text1"/>
          <w:sz w:val="28"/>
          <w:szCs w:val="28"/>
        </w:rPr>
        <w:lastRenderedPageBreak/>
        <w:t>внесении изменений в отдельные законодательные акты Ро</w:t>
      </w:r>
      <w:r>
        <w:rPr>
          <w:color w:val="000000" w:themeColor="text1"/>
          <w:sz w:val="28"/>
          <w:szCs w:val="28"/>
        </w:rPr>
        <w:t>ссийской Федерации» и отдельные законодательные акты Российской Федерации»). Помимо этого согласно п.1 ст. 760 ГК РФ проектная документация при прокладке, переустройстве, переносе инженерных коммуникаций должна быть согласована с владельцем автомобильной д</w:t>
      </w:r>
      <w:r>
        <w:rPr>
          <w:color w:val="000000" w:themeColor="text1"/>
          <w:sz w:val="28"/>
          <w:szCs w:val="28"/>
        </w:rPr>
        <w:t>ороги;</w:t>
      </w:r>
    </w:p>
    <w:p w:rsidR="00EE48CF" w:rsidRDefault="0096756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В целях недопущения нарушений при установке дорожных знаков в границах полос отвода и придорожных полос автомобильных дорог инженерных коммуникаций в полосе отвода автомобильных дорог регионального и межмуниципального значения Удмуртской Республи</w:t>
      </w:r>
      <w:r>
        <w:rPr>
          <w:color w:val="000000" w:themeColor="text1"/>
          <w:sz w:val="28"/>
          <w:szCs w:val="28"/>
        </w:rPr>
        <w:t>ки рекомендуем выполнять работы в соответствии с выданными техническими условиями, а также в соответствии с обязательными требованиями (ГОСТ Р 52766-2007 «Дороги автомобильные общего пользования. Элементы обустройства. Общие требования»,  ГОСТ Р 52290-2004</w:t>
      </w:r>
      <w:r>
        <w:rPr>
          <w:color w:val="000000" w:themeColor="text1"/>
          <w:sz w:val="28"/>
          <w:szCs w:val="28"/>
        </w:rPr>
        <w:t xml:space="preserve"> «Технические средства организации дорожного движения. Знаки дорожные. Общие технические требования», ГОСТ Р 52289-2019 «Технические средства организации дорожного движения. Правила применения дорожных знаков, разметки, светофоров, дорожных ограждений и на</w:t>
      </w:r>
      <w:r>
        <w:rPr>
          <w:color w:val="000000" w:themeColor="text1"/>
          <w:sz w:val="28"/>
          <w:szCs w:val="28"/>
        </w:rPr>
        <w:t>правляющих устройств»);</w:t>
      </w:r>
    </w:p>
    <w:p w:rsidR="00EE48CF" w:rsidRDefault="0096756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В целях недопущения нарушений при выполнении работ по пересечению и сближение ВЛ с автомобильными дорогами регионального или межмуниципального значения Удмуртской Республики (строительство опор ЛЭП и т.д.) рекомендуем выполнять р</w:t>
      </w:r>
      <w:r>
        <w:rPr>
          <w:color w:val="000000" w:themeColor="text1"/>
          <w:sz w:val="28"/>
          <w:szCs w:val="28"/>
        </w:rPr>
        <w:t>аботы в соответствии с выданными техническими условиями, а также в соответствии с обязательными требованиями (статья 19, 25 Федерального закона № 257-ФЗ; ст. 5 Федерального закона от 11.07.2011 г. № 193-ФЗ «О внесении изменений в Федеральный закон «Об авто</w:t>
      </w:r>
      <w:r>
        <w:rPr>
          <w:color w:val="000000" w:themeColor="text1"/>
          <w:sz w:val="28"/>
          <w:szCs w:val="28"/>
        </w:rPr>
        <w:t>мобильных дорогах и о дорожной деятельности в Российской Федерации и о внесении изменений в отдельные законодательные акты Российской Федерации» и отдельные законодательные акты Российской Федерации»; Правила устройства электроустановок (ПУЭ). Седьмое изда</w:t>
      </w:r>
      <w:r>
        <w:rPr>
          <w:color w:val="000000" w:themeColor="text1"/>
          <w:sz w:val="28"/>
          <w:szCs w:val="28"/>
        </w:rPr>
        <w:t xml:space="preserve">ние. Раздел 2. Передача электроэнергии. Глава 2.4. Воздушные линии электропередачи напряжением до 1 </w:t>
      </w:r>
      <w:proofErr w:type="spellStart"/>
      <w:r>
        <w:rPr>
          <w:color w:val="000000" w:themeColor="text1"/>
          <w:sz w:val="28"/>
          <w:szCs w:val="28"/>
        </w:rPr>
        <w:t>кВ.</w:t>
      </w:r>
      <w:proofErr w:type="spellEnd"/>
      <w:r>
        <w:rPr>
          <w:color w:val="000000" w:themeColor="text1"/>
          <w:sz w:val="28"/>
          <w:szCs w:val="28"/>
        </w:rPr>
        <w:t xml:space="preserve"> Глава 2.5. Воздушные линии электропередачи напряжением выше 1 </w:t>
      </w:r>
      <w:proofErr w:type="spellStart"/>
      <w:r>
        <w:rPr>
          <w:color w:val="000000" w:themeColor="text1"/>
          <w:sz w:val="28"/>
          <w:szCs w:val="28"/>
        </w:rPr>
        <w:t>кВ</w:t>
      </w:r>
      <w:proofErr w:type="spellEnd"/>
      <w:r>
        <w:rPr>
          <w:color w:val="000000" w:themeColor="text1"/>
          <w:sz w:val="28"/>
          <w:szCs w:val="28"/>
        </w:rPr>
        <w:t xml:space="preserve"> (утв. Приказом Минэнерго России от 20.05.2003 № 187). Помимо этого согласно п.1 ст. 760</w:t>
      </w:r>
      <w:r>
        <w:rPr>
          <w:color w:val="000000" w:themeColor="text1"/>
          <w:sz w:val="28"/>
          <w:szCs w:val="28"/>
        </w:rPr>
        <w:t xml:space="preserve"> ГК РФ проектная документация при прокладке, переустройстве, переносе инженерных коммуникаций должна быть согласована с владельцем автомобильной дороги.</w:t>
      </w:r>
    </w:p>
    <w:p w:rsidR="00EE48CF" w:rsidRDefault="0096756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в целях недопущения привлечения к административной ответственности поднадзорных субъектов по ч.1 </w:t>
      </w:r>
      <w:r>
        <w:rPr>
          <w:color w:val="000000" w:themeColor="text1"/>
          <w:sz w:val="28"/>
          <w:szCs w:val="28"/>
        </w:rPr>
        <w:t>ст. 19.4 КоАП РФ, ч.1 ст. 19.4.1 КоАП РФ, ч.1 ст. 19.5 КоАП РФ рекомендуем не игнорировать направляемые контролируемым лицам решения о проведении контрольных (надзорных) мероприятиях,  предоставлять в Миндортранс УР все запрашиваемые документы, а также над</w:t>
      </w:r>
      <w:r>
        <w:rPr>
          <w:color w:val="000000" w:themeColor="text1"/>
          <w:sz w:val="28"/>
          <w:szCs w:val="28"/>
        </w:rPr>
        <w:t xml:space="preserve">лежащим образом выполнять выданные предписания. </w:t>
      </w:r>
    </w:p>
    <w:p w:rsidR="00EE48CF" w:rsidRDefault="00EE48CF">
      <w:pPr>
        <w:ind w:firstLine="708"/>
        <w:jc w:val="both"/>
        <w:rPr>
          <w:color w:val="000000" w:themeColor="text1"/>
          <w:sz w:val="28"/>
          <w:szCs w:val="28"/>
        </w:rPr>
      </w:pPr>
    </w:p>
    <w:p w:rsidR="00EE48CF" w:rsidRDefault="00EE48CF">
      <w:pPr>
        <w:ind w:firstLine="708"/>
        <w:jc w:val="both"/>
        <w:rPr>
          <w:color w:val="000000" w:themeColor="text1"/>
          <w:sz w:val="28"/>
          <w:szCs w:val="28"/>
        </w:rPr>
      </w:pPr>
    </w:p>
    <w:p w:rsidR="00EE48CF" w:rsidRDefault="00EE48CF">
      <w:pPr>
        <w:ind w:firstLine="708"/>
        <w:jc w:val="both"/>
        <w:rPr>
          <w:color w:val="000000" w:themeColor="text1"/>
          <w:sz w:val="28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p w:rsidR="00EE48CF" w:rsidRDefault="00EE48CF">
      <w:pPr>
        <w:pStyle w:val="a4"/>
        <w:ind w:left="4820"/>
        <w:jc w:val="left"/>
        <w:rPr>
          <w:b w:val="0"/>
          <w:bCs w:val="0"/>
          <w:color w:val="000000" w:themeColor="text1"/>
          <w:szCs w:val="28"/>
        </w:rPr>
      </w:pPr>
    </w:p>
    <w:sectPr w:rsidR="00EE48CF">
      <w:pgSz w:w="11906" w:h="16838"/>
      <w:pgMar w:top="851" w:right="851" w:bottom="1135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E48CF"/>
    <w:rsid w:val="00967563"/>
    <w:rsid w:val="00E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561B5-D20E-472E-B527-BD284D72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28"/>
    <w:rPr>
      <w:sz w:val="24"/>
      <w:szCs w:val="24"/>
    </w:rPr>
  </w:style>
  <w:style w:type="paragraph" w:styleId="1">
    <w:name w:val="heading 1"/>
    <w:basedOn w:val="a"/>
    <w:next w:val="a"/>
    <w:qFormat/>
    <w:rsid w:val="00EA7E28"/>
    <w:pPr>
      <w:keepNext/>
      <w:ind w:left="360" w:hanging="360"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EA7E28"/>
    <w:pPr>
      <w:keepNext/>
      <w:ind w:left="360" w:hanging="360"/>
      <w:jc w:val="center"/>
      <w:outlineLvl w:val="1"/>
    </w:pPr>
    <w:rPr>
      <w:rFonts w:ascii="Arial" w:hAnsi="Arial" w:cs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A7E28"/>
    <w:pPr>
      <w:keepNext/>
      <w:overflowPunct w:val="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EA7E28"/>
    <w:pPr>
      <w:keepNext/>
      <w:ind w:left="1042"/>
      <w:jc w:val="both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D59F8"/>
    <w:rPr>
      <w:sz w:val="28"/>
    </w:rPr>
  </w:style>
  <w:style w:type="character" w:customStyle="1" w:styleId="a3">
    <w:name w:val="Название Знак"/>
    <w:basedOn w:val="a0"/>
    <w:link w:val="a4"/>
    <w:uiPriority w:val="10"/>
    <w:qFormat/>
    <w:rsid w:val="00CD59F8"/>
    <w:rPr>
      <w:b/>
      <w:bCs/>
      <w:sz w:val="28"/>
    </w:rPr>
  </w:style>
  <w:style w:type="character" w:customStyle="1" w:styleId="a5">
    <w:name w:val="Основной текст Знак"/>
    <w:basedOn w:val="a0"/>
    <w:link w:val="a6"/>
    <w:semiHidden/>
    <w:qFormat/>
    <w:rsid w:val="00CD59F8"/>
    <w:rPr>
      <w:rFonts w:ascii="Arial" w:hAnsi="Arial" w:cs="Arial"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semiHidden/>
    <w:qFormat/>
    <w:rsid w:val="00CD59F8"/>
    <w:rPr>
      <w:rFonts w:ascii="Arial" w:hAnsi="Arial" w:cs="Arial"/>
      <w:b/>
      <w:bCs/>
      <w:sz w:val="22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861B64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DD3D9E"/>
    <w:rPr>
      <w:sz w:val="24"/>
      <w:szCs w:val="24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DD3D9E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6769B"/>
    <w:rPr>
      <w:color w:val="0000FF"/>
      <w:u w:val="single"/>
    </w:rPr>
  </w:style>
  <w:style w:type="character" w:customStyle="1" w:styleId="ae">
    <w:name w:val="Основной текст_"/>
    <w:link w:val="22"/>
    <w:qFormat/>
    <w:locked/>
    <w:rsid w:val="002641C6"/>
    <w:rPr>
      <w:sz w:val="22"/>
      <w:szCs w:val="22"/>
      <w:shd w:val="clear" w:color="auto" w:fill="FFFFFF"/>
    </w:rPr>
  </w:style>
  <w:style w:type="character" w:customStyle="1" w:styleId="10">
    <w:name w:val="Основной текст1"/>
    <w:qFormat/>
    <w:rsid w:val="00264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w w:val="10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">
    <w:name w:val="Заголовок"/>
    <w:basedOn w:val="a"/>
    <w:next w:val="a6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6">
    <w:name w:val="Body Text"/>
    <w:basedOn w:val="a"/>
    <w:link w:val="a5"/>
    <w:semiHidden/>
    <w:rsid w:val="00EA7E28"/>
    <w:pPr>
      <w:jc w:val="both"/>
    </w:pPr>
    <w:rPr>
      <w:rFonts w:ascii="Arial" w:hAnsi="Arial" w:cs="Arial"/>
      <w:bCs/>
    </w:rPr>
  </w:style>
  <w:style w:type="paragraph" w:styleId="af0">
    <w:name w:val="List"/>
    <w:basedOn w:val="a6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Title"/>
    <w:basedOn w:val="a"/>
    <w:link w:val="a3"/>
    <w:uiPriority w:val="10"/>
    <w:qFormat/>
    <w:rsid w:val="00EA7E28"/>
    <w:pPr>
      <w:tabs>
        <w:tab w:val="left" w:pos="3969"/>
      </w:tabs>
      <w:overflowPunct w:val="0"/>
      <w:jc w:val="center"/>
    </w:pPr>
    <w:rPr>
      <w:b/>
      <w:bCs/>
      <w:sz w:val="28"/>
      <w:szCs w:val="20"/>
    </w:rPr>
  </w:style>
  <w:style w:type="paragraph" w:styleId="21">
    <w:name w:val="Body Text Indent 2"/>
    <w:basedOn w:val="a"/>
    <w:link w:val="20"/>
    <w:semiHidden/>
    <w:qFormat/>
    <w:rsid w:val="00EA7E28"/>
    <w:pPr>
      <w:ind w:left="360" w:hanging="360"/>
      <w:jc w:val="both"/>
    </w:pPr>
    <w:rPr>
      <w:rFonts w:ascii="Arial" w:hAnsi="Arial" w:cs="Arial"/>
      <w:b/>
      <w:bCs/>
      <w:sz w:val="22"/>
    </w:rPr>
  </w:style>
  <w:style w:type="paragraph" w:styleId="af3">
    <w:name w:val="Body Text Indent"/>
    <w:basedOn w:val="a"/>
    <w:semiHidden/>
    <w:rsid w:val="00EA7E28"/>
    <w:pPr>
      <w:ind w:left="360"/>
      <w:jc w:val="both"/>
    </w:pPr>
    <w:rPr>
      <w:rFonts w:ascii="Arial" w:hAnsi="Arial" w:cs="Arial"/>
      <w:sz w:val="22"/>
    </w:rPr>
  </w:style>
  <w:style w:type="paragraph" w:styleId="31">
    <w:name w:val="Body Text Indent 3"/>
    <w:basedOn w:val="a"/>
    <w:semiHidden/>
    <w:qFormat/>
    <w:rsid w:val="00EA7E28"/>
    <w:pPr>
      <w:ind w:left="360" w:hanging="360"/>
      <w:jc w:val="both"/>
    </w:pPr>
    <w:rPr>
      <w:rFonts w:ascii="Arial" w:hAnsi="Arial" w:cs="Arial"/>
      <w:sz w:val="22"/>
    </w:rPr>
  </w:style>
  <w:style w:type="paragraph" w:styleId="23">
    <w:name w:val="Body Text 2"/>
    <w:basedOn w:val="a"/>
    <w:semiHidden/>
    <w:qFormat/>
    <w:rsid w:val="00EA7E28"/>
    <w:pPr>
      <w:jc w:val="both"/>
    </w:pPr>
    <w:rPr>
      <w:rFonts w:ascii="Arial" w:hAnsi="Arial" w:cs="Arial"/>
      <w:sz w:val="22"/>
    </w:rPr>
  </w:style>
  <w:style w:type="paragraph" w:styleId="af4">
    <w:name w:val="List Paragraph"/>
    <w:basedOn w:val="a"/>
    <w:uiPriority w:val="34"/>
    <w:qFormat/>
    <w:rsid w:val="00A20EB5"/>
    <w:pPr>
      <w:ind w:left="708"/>
    </w:pPr>
  </w:style>
  <w:style w:type="paragraph" w:styleId="a8">
    <w:name w:val="Balloon Text"/>
    <w:basedOn w:val="a"/>
    <w:link w:val="a7"/>
    <w:uiPriority w:val="99"/>
    <w:semiHidden/>
    <w:unhideWhenUsed/>
    <w:qFormat/>
    <w:rsid w:val="00861B64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a"/>
    <w:next w:val="a"/>
    <w:qFormat/>
    <w:rsid w:val="00883E7A"/>
    <w:pPr>
      <w:overflowPunct w:val="0"/>
      <w:jc w:val="center"/>
    </w:pPr>
    <w:rPr>
      <w:rFonts w:ascii="Arial" w:hAnsi="Arial"/>
      <w:szCs w:val="20"/>
    </w:rPr>
  </w:style>
  <w:style w:type="paragraph" w:customStyle="1" w:styleId="af5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DD3D9E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unhideWhenUsed/>
    <w:rsid w:val="00DD3D9E"/>
    <w:pPr>
      <w:tabs>
        <w:tab w:val="center" w:pos="4677"/>
        <w:tab w:val="right" w:pos="9355"/>
      </w:tabs>
    </w:pPr>
  </w:style>
  <w:style w:type="paragraph" w:styleId="af6">
    <w:name w:val="No Spacing"/>
    <w:qFormat/>
    <w:rsid w:val="0052647B"/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Основной текст2"/>
    <w:basedOn w:val="a"/>
    <w:link w:val="ae"/>
    <w:qFormat/>
    <w:rsid w:val="002641C6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3A03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843D-14D0-4AA0-B87E-39AA8907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В Е С Т К А    Д Н Я</vt:lpstr>
    </vt:vector>
  </TitlesOfParts>
  <Company>xxl</Company>
  <LinksUpToDate>false</LinksUpToDate>
  <CharactersWithSpaces>18791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В Е С Т К А    Д Н Я</dc:title>
  <dc:subject/>
  <dc:creator>marina</dc:creator>
  <dc:description/>
  <cp:lastModifiedBy>Майоров Александр Владимирович</cp:lastModifiedBy>
  <cp:revision>2</cp:revision>
  <cp:lastPrinted>2020-01-10T12:12:00Z</cp:lastPrinted>
  <dcterms:created xsi:type="dcterms:W3CDTF">2025-02-12T12:48:00Z</dcterms:created>
  <dcterms:modified xsi:type="dcterms:W3CDTF">2025-02-12T12:48:00Z</dcterms:modified>
  <dc:language>ru-RU</dc:language>
</cp:coreProperties>
</file>