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CAB" w:rsidRPr="00737993" w:rsidRDefault="00B92CAB" w:rsidP="00B92CAB">
      <w:pPr>
        <w:framePr w:w="3997" w:h="930" w:hRule="exact" w:hSpace="142" w:wrap="around" w:vAnchor="text" w:hAnchor="page" w:x="7479" w:y="172"/>
        <w:jc w:val="center"/>
        <w:rPr>
          <w:rFonts w:eastAsia="Times New Roman"/>
          <w:b/>
          <w:szCs w:val="20"/>
          <w:lang w:eastAsia="ru-RU"/>
        </w:rPr>
      </w:pPr>
      <w:r w:rsidRPr="00737993">
        <w:rPr>
          <w:rFonts w:eastAsia="Times New Roman"/>
          <w:b/>
          <w:szCs w:val="20"/>
          <w:lang w:eastAsia="ru-RU"/>
        </w:rPr>
        <w:t xml:space="preserve">УДМУРТ ЭЛЬКУНЫСЬ </w:t>
      </w:r>
      <w:proofErr w:type="gramStart"/>
      <w:r w:rsidRPr="00737993">
        <w:rPr>
          <w:rFonts w:eastAsia="Times New Roman"/>
          <w:b/>
          <w:szCs w:val="20"/>
          <w:lang w:eastAsia="ru-RU"/>
        </w:rPr>
        <w:t>ТРАНСПОРТЪЯ</w:t>
      </w:r>
      <w:proofErr w:type="gramEnd"/>
      <w:r w:rsidRPr="00737993">
        <w:rPr>
          <w:rFonts w:eastAsia="Times New Roman"/>
          <w:b/>
          <w:szCs w:val="20"/>
          <w:lang w:eastAsia="ru-RU"/>
        </w:rPr>
        <w:t xml:space="preserve"> НО СЮРЕС ВОЗЁСЪЯ МИНИСТЕРСТВО</w:t>
      </w:r>
    </w:p>
    <w:p w:rsidR="00B92CAB" w:rsidRDefault="00B92CAB" w:rsidP="00B92CAB">
      <w:pPr>
        <w:framePr w:w="3997" w:h="930" w:hRule="exact" w:hSpace="142" w:wrap="around" w:vAnchor="text" w:hAnchor="page" w:x="1128" w:y="187"/>
        <w:jc w:val="center"/>
        <w:rPr>
          <w:rFonts w:eastAsia="Times New Roman"/>
          <w:b/>
          <w:szCs w:val="20"/>
          <w:lang w:eastAsia="ru-RU"/>
        </w:rPr>
      </w:pPr>
      <w:r w:rsidRPr="00E73C58">
        <w:rPr>
          <w:rFonts w:eastAsia="Times New Roman"/>
          <w:b/>
          <w:szCs w:val="20"/>
          <w:lang w:eastAsia="ru-RU"/>
        </w:rPr>
        <w:t xml:space="preserve">МИНИСТЕРСТВО </w:t>
      </w:r>
      <w:r>
        <w:rPr>
          <w:rFonts w:eastAsia="Times New Roman"/>
          <w:b/>
          <w:szCs w:val="20"/>
          <w:lang w:eastAsia="ru-RU"/>
        </w:rPr>
        <w:t>ТРАНСПОРТА</w:t>
      </w:r>
    </w:p>
    <w:p w:rsidR="00B92CAB" w:rsidRDefault="00B92CAB" w:rsidP="00B92CAB">
      <w:pPr>
        <w:framePr w:w="3997" w:h="930" w:hRule="exact" w:hSpace="142" w:wrap="around" w:vAnchor="text" w:hAnchor="page" w:x="1128" w:y="187"/>
        <w:jc w:val="center"/>
        <w:rPr>
          <w:rFonts w:eastAsia="Times New Roman"/>
          <w:b/>
          <w:szCs w:val="20"/>
          <w:lang w:eastAsia="ru-RU"/>
        </w:rPr>
      </w:pPr>
      <w:r>
        <w:rPr>
          <w:rFonts w:eastAsia="Times New Roman"/>
          <w:b/>
          <w:szCs w:val="20"/>
          <w:lang w:eastAsia="ru-RU"/>
        </w:rPr>
        <w:t>И ДОРОЖНОГО ХОЗЯЙСТВА</w:t>
      </w:r>
    </w:p>
    <w:p w:rsidR="00B92CAB" w:rsidRPr="00E73C58" w:rsidRDefault="00B92CAB" w:rsidP="00B92CAB">
      <w:pPr>
        <w:framePr w:w="3997" w:h="930" w:hRule="exact" w:hSpace="142" w:wrap="around" w:vAnchor="text" w:hAnchor="page" w:x="1128" w:y="187"/>
        <w:jc w:val="center"/>
        <w:rPr>
          <w:rFonts w:eastAsia="Times New Roman"/>
          <w:szCs w:val="20"/>
          <w:lang w:eastAsia="ru-RU"/>
        </w:rPr>
      </w:pPr>
      <w:r w:rsidRPr="00E73C58">
        <w:rPr>
          <w:rFonts w:eastAsia="Times New Roman"/>
          <w:b/>
          <w:szCs w:val="20"/>
          <w:lang w:eastAsia="ru-RU"/>
        </w:rPr>
        <w:t xml:space="preserve"> УДМУРТСКОЙ РЕСПУБЛИКИ</w:t>
      </w:r>
    </w:p>
    <w:p w:rsidR="00B92CAB" w:rsidRPr="00B92CAB" w:rsidRDefault="00BD327E" w:rsidP="00B92CAB">
      <w:pPr>
        <w:rPr>
          <w:rFonts w:eastAsia="Times New Roman"/>
          <w:b/>
          <w:sz w:val="20"/>
          <w:szCs w:val="20"/>
          <w:lang w:eastAsia="ru-RU"/>
        </w:rPr>
      </w:pPr>
      <w:r>
        <w:rPr>
          <w:noProof/>
          <w:lang w:eastAsia="ru-RU"/>
        </w:rPr>
        <w:drawing>
          <wp:anchor distT="0" distB="0" distL="114300" distR="114300" simplePos="0" relativeHeight="251656704" behindDoc="0" locked="0" layoutInCell="1" allowOverlap="1">
            <wp:simplePos x="0" y="0"/>
            <wp:positionH relativeFrom="column">
              <wp:posOffset>347980</wp:posOffset>
            </wp:positionH>
            <wp:positionV relativeFrom="paragraph">
              <wp:posOffset>0</wp:posOffset>
            </wp:positionV>
            <wp:extent cx="734695" cy="755650"/>
            <wp:effectExtent l="19050" t="0" r="8255" b="0"/>
            <wp:wrapNone/>
            <wp:docPr id="2" name="Рисунок 2" descr="Герб Удмуртской Республик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Удмуртской Республики 1"/>
                    <pic:cNvPicPr>
                      <a:picLocks noChangeAspect="1" noChangeArrowheads="1"/>
                    </pic:cNvPicPr>
                  </pic:nvPicPr>
                  <pic:blipFill>
                    <a:blip r:embed="rId7" cstate="print"/>
                    <a:srcRect/>
                    <a:stretch>
                      <a:fillRect/>
                    </a:stretch>
                  </pic:blipFill>
                  <pic:spPr bwMode="auto">
                    <a:xfrm>
                      <a:off x="0" y="0"/>
                      <a:ext cx="734695" cy="755650"/>
                    </a:xfrm>
                    <a:prstGeom prst="rect">
                      <a:avLst/>
                    </a:prstGeom>
                    <a:noFill/>
                    <a:ln w="9525">
                      <a:noFill/>
                      <a:miter lim="800000"/>
                      <a:headEnd/>
                      <a:tailEnd/>
                    </a:ln>
                  </pic:spPr>
                </pic:pic>
              </a:graphicData>
            </a:graphic>
          </wp:anchor>
        </w:drawing>
      </w:r>
    </w:p>
    <w:p w:rsidR="00B92CAB" w:rsidRPr="00B92CAB" w:rsidRDefault="00B92CAB" w:rsidP="00B92CAB">
      <w:pPr>
        <w:rPr>
          <w:rFonts w:eastAsia="Times New Roman"/>
          <w:b/>
          <w:sz w:val="20"/>
          <w:szCs w:val="20"/>
          <w:lang w:eastAsia="ru-RU"/>
        </w:rPr>
      </w:pPr>
    </w:p>
    <w:p w:rsidR="00B92CAB" w:rsidRPr="00B92CAB" w:rsidRDefault="00B92CAB" w:rsidP="00B92CAB">
      <w:pPr>
        <w:rPr>
          <w:rFonts w:eastAsia="Times New Roman"/>
          <w:b/>
          <w:sz w:val="20"/>
          <w:szCs w:val="20"/>
          <w:lang w:eastAsia="ru-RU"/>
        </w:rPr>
      </w:pPr>
    </w:p>
    <w:p w:rsidR="00B92CAB" w:rsidRPr="00B92CAB" w:rsidRDefault="00B92CAB" w:rsidP="00B92CAB">
      <w:pPr>
        <w:rPr>
          <w:rFonts w:eastAsia="Times New Roman"/>
          <w:b/>
          <w:sz w:val="20"/>
          <w:szCs w:val="20"/>
          <w:lang w:eastAsia="ru-RU"/>
        </w:rPr>
      </w:pPr>
    </w:p>
    <w:p w:rsidR="00B92CAB" w:rsidRPr="00B92CAB" w:rsidRDefault="00B92CAB" w:rsidP="00B92CAB">
      <w:pPr>
        <w:rPr>
          <w:rFonts w:eastAsia="Times New Roman"/>
          <w:b/>
          <w:sz w:val="20"/>
          <w:szCs w:val="20"/>
          <w:lang w:eastAsia="ru-RU"/>
        </w:rPr>
      </w:pPr>
    </w:p>
    <w:p w:rsidR="00B92CAB" w:rsidRDefault="00B92CAB" w:rsidP="00B92CAB">
      <w:pPr>
        <w:rPr>
          <w:rFonts w:eastAsia="Times New Roman"/>
          <w:b/>
          <w:sz w:val="20"/>
          <w:szCs w:val="20"/>
          <w:lang w:eastAsia="ru-RU"/>
        </w:rPr>
      </w:pPr>
    </w:p>
    <w:p w:rsidR="00B92CAB" w:rsidRPr="003C0B3A" w:rsidRDefault="00A5478E" w:rsidP="00B92CAB">
      <w:pPr>
        <w:rPr>
          <w:rFonts w:eastAsia="Times New Roman"/>
          <w:b/>
          <w:sz w:val="14"/>
          <w:szCs w:val="20"/>
          <w:lang w:eastAsia="ru-RU"/>
        </w:rPr>
      </w:pPr>
      <w:r w:rsidRPr="00A5478E">
        <w:rPr>
          <w:rFonts w:eastAsia="Times New Roman"/>
          <w:b/>
          <w:noProof/>
          <w:sz w:val="20"/>
          <w:szCs w:val="20"/>
          <w:lang w:eastAsia="ru-RU"/>
        </w:rPr>
        <w:pict>
          <v:line id="_x0000_s1027" style="position:absolute;z-index:251657728" from="-.05pt,3pt" to="510.2pt,3pt" strokeweight=".8pt"/>
        </w:pict>
      </w:r>
      <w:r w:rsidRPr="00A5478E">
        <w:rPr>
          <w:rFonts w:eastAsia="Times New Roman"/>
          <w:b/>
          <w:noProof/>
          <w:sz w:val="20"/>
          <w:szCs w:val="20"/>
          <w:lang w:eastAsia="ru-RU"/>
        </w:rPr>
        <w:pict>
          <v:line id="_x0000_s1028" style="position:absolute;z-index:251658752" from="0,.05pt" to="510.25pt,.05pt" strokeweight="1.75pt"/>
        </w:pict>
      </w:r>
    </w:p>
    <w:p w:rsidR="00B92CAB" w:rsidRDefault="00B92CAB" w:rsidP="00B92CAB">
      <w:pPr>
        <w:jc w:val="center"/>
        <w:rPr>
          <w:b/>
          <w:sz w:val="20"/>
          <w:szCs w:val="20"/>
        </w:rPr>
      </w:pPr>
      <w:r w:rsidRPr="00E73C58">
        <w:rPr>
          <w:rFonts w:eastAsia="Times New Roman"/>
          <w:b/>
          <w:sz w:val="20"/>
          <w:szCs w:val="20"/>
          <w:lang w:eastAsia="ru-RU"/>
        </w:rPr>
        <w:t>426033</w:t>
      </w:r>
      <w:r>
        <w:rPr>
          <w:rFonts w:eastAsia="Times New Roman"/>
          <w:b/>
          <w:sz w:val="20"/>
          <w:szCs w:val="20"/>
          <w:lang w:eastAsia="ru-RU"/>
        </w:rPr>
        <w:t xml:space="preserve">, Удмуртская Республика, </w:t>
      </w:r>
      <w:proofErr w:type="gramStart"/>
      <w:r w:rsidRPr="00E73C58">
        <w:rPr>
          <w:rFonts w:eastAsia="Times New Roman"/>
          <w:b/>
          <w:sz w:val="20"/>
          <w:szCs w:val="20"/>
          <w:lang w:eastAsia="ru-RU"/>
        </w:rPr>
        <w:t>г</w:t>
      </w:r>
      <w:proofErr w:type="gramEnd"/>
      <w:r w:rsidRPr="00E73C58">
        <w:rPr>
          <w:rFonts w:eastAsia="Times New Roman"/>
          <w:b/>
          <w:sz w:val="20"/>
          <w:szCs w:val="20"/>
          <w:lang w:eastAsia="ru-RU"/>
        </w:rPr>
        <w:t>. Ижевск, ул. Кирова, д. 22</w:t>
      </w:r>
      <w:r>
        <w:rPr>
          <w:rFonts w:eastAsia="Times New Roman"/>
          <w:b/>
          <w:sz w:val="20"/>
          <w:szCs w:val="20"/>
          <w:lang w:eastAsia="ru-RU"/>
        </w:rPr>
        <w:t xml:space="preserve">, </w:t>
      </w:r>
      <w:r>
        <w:rPr>
          <w:b/>
          <w:sz w:val="20"/>
          <w:szCs w:val="20"/>
        </w:rPr>
        <w:t>т</w:t>
      </w:r>
      <w:r w:rsidRPr="00E73C58">
        <w:rPr>
          <w:b/>
          <w:sz w:val="20"/>
          <w:szCs w:val="20"/>
        </w:rPr>
        <w:t xml:space="preserve">ел. </w:t>
      </w:r>
      <w:r>
        <w:rPr>
          <w:b/>
          <w:sz w:val="20"/>
          <w:szCs w:val="20"/>
        </w:rPr>
        <w:t>(3412) 480</w:t>
      </w:r>
      <w:r w:rsidRPr="00895F2E">
        <w:rPr>
          <w:b/>
          <w:sz w:val="20"/>
          <w:szCs w:val="20"/>
        </w:rPr>
        <w:t>-</w:t>
      </w:r>
      <w:r>
        <w:rPr>
          <w:b/>
          <w:sz w:val="20"/>
          <w:szCs w:val="20"/>
        </w:rPr>
        <w:t>500, факс 480</w:t>
      </w:r>
      <w:r w:rsidRPr="00895F2E">
        <w:rPr>
          <w:b/>
          <w:sz w:val="20"/>
          <w:szCs w:val="20"/>
        </w:rPr>
        <w:t>-</w:t>
      </w:r>
      <w:r>
        <w:rPr>
          <w:b/>
          <w:sz w:val="20"/>
          <w:szCs w:val="20"/>
        </w:rPr>
        <w:t>4</w:t>
      </w:r>
      <w:r w:rsidRPr="00895F2E">
        <w:rPr>
          <w:b/>
          <w:sz w:val="20"/>
          <w:szCs w:val="20"/>
        </w:rPr>
        <w:t>48</w:t>
      </w:r>
    </w:p>
    <w:p w:rsidR="009847CD" w:rsidRDefault="009847CD" w:rsidP="009847CD">
      <w:pPr>
        <w:rPr>
          <w:sz w:val="20"/>
        </w:rPr>
      </w:pPr>
    </w:p>
    <w:p w:rsidR="00071A72" w:rsidRDefault="00071A72" w:rsidP="009847CD">
      <w:pPr>
        <w:rPr>
          <w:sz w:val="20"/>
        </w:rPr>
      </w:pPr>
    </w:p>
    <w:tbl>
      <w:tblPr>
        <w:tblW w:w="11873" w:type="dxa"/>
        <w:tblLayout w:type="fixed"/>
        <w:tblLook w:val="0000"/>
      </w:tblPr>
      <w:tblGrid>
        <w:gridCol w:w="4785"/>
        <w:gridCol w:w="1844"/>
        <w:gridCol w:w="2941"/>
        <w:gridCol w:w="2303"/>
      </w:tblGrid>
      <w:tr w:rsidR="004B4755" w:rsidRPr="00397716" w:rsidTr="00C87F27">
        <w:tc>
          <w:tcPr>
            <w:tcW w:w="6629" w:type="dxa"/>
            <w:gridSpan w:val="2"/>
          </w:tcPr>
          <w:p w:rsidR="004B4755" w:rsidRPr="00397716" w:rsidRDefault="004B4755" w:rsidP="00D6126F">
            <w:pPr>
              <w:rPr>
                <w:sz w:val="28"/>
                <w:szCs w:val="28"/>
                <w:u w:val="single"/>
              </w:rPr>
            </w:pPr>
            <w:r w:rsidRPr="00122522">
              <w:rPr>
                <w:sz w:val="28"/>
                <w:szCs w:val="28"/>
                <w:u w:val="single"/>
              </w:rPr>
              <w:t xml:space="preserve">от </w:t>
            </w:r>
            <w:r w:rsidR="00122522" w:rsidRPr="00122522">
              <w:rPr>
                <w:sz w:val="28"/>
                <w:szCs w:val="28"/>
                <w:u w:val="single"/>
              </w:rPr>
              <w:t xml:space="preserve"> </w:t>
            </w:r>
            <w:r w:rsidR="00D6126F">
              <w:rPr>
                <w:sz w:val="28"/>
                <w:szCs w:val="28"/>
                <w:u w:val="single"/>
              </w:rPr>
              <w:t xml:space="preserve">24 </w:t>
            </w:r>
            <w:r w:rsidR="005859C1">
              <w:rPr>
                <w:sz w:val="28"/>
                <w:szCs w:val="28"/>
                <w:u w:val="single"/>
              </w:rPr>
              <w:t>июня</w:t>
            </w:r>
            <w:r w:rsidR="00733E93">
              <w:rPr>
                <w:sz w:val="28"/>
                <w:szCs w:val="28"/>
                <w:u w:val="single"/>
              </w:rPr>
              <w:t xml:space="preserve"> </w:t>
            </w:r>
            <w:r w:rsidRPr="00397716">
              <w:rPr>
                <w:sz w:val="28"/>
                <w:szCs w:val="28"/>
                <w:u w:val="single"/>
              </w:rPr>
              <w:t xml:space="preserve"> 201</w:t>
            </w:r>
            <w:r w:rsidR="00122522">
              <w:rPr>
                <w:sz w:val="28"/>
                <w:szCs w:val="28"/>
                <w:u w:val="single"/>
              </w:rPr>
              <w:t>3</w:t>
            </w:r>
            <w:r w:rsidRPr="00397716">
              <w:rPr>
                <w:sz w:val="28"/>
                <w:szCs w:val="28"/>
                <w:u w:val="single"/>
              </w:rPr>
              <w:t xml:space="preserve"> года  </w:t>
            </w:r>
            <w:r w:rsidRPr="0063483F">
              <w:rPr>
                <w:sz w:val="28"/>
                <w:szCs w:val="28"/>
                <w:u w:val="single"/>
              </w:rPr>
              <w:t>№</w:t>
            </w:r>
            <w:r w:rsidRPr="00397716">
              <w:rPr>
                <w:sz w:val="28"/>
                <w:szCs w:val="28"/>
              </w:rPr>
              <w:t xml:space="preserve"> </w:t>
            </w:r>
            <w:r w:rsidR="00D6126F" w:rsidRPr="00D6126F">
              <w:rPr>
                <w:sz w:val="28"/>
                <w:szCs w:val="28"/>
                <w:u w:val="single"/>
              </w:rPr>
              <w:t>2389/06</w:t>
            </w:r>
          </w:p>
        </w:tc>
        <w:tc>
          <w:tcPr>
            <w:tcW w:w="5244" w:type="dxa"/>
            <w:gridSpan w:val="2"/>
          </w:tcPr>
          <w:p w:rsidR="00E07A13" w:rsidRPr="003E6A82" w:rsidRDefault="00E07A13" w:rsidP="00C744F2">
            <w:pPr>
              <w:rPr>
                <w:bCs/>
                <w:sz w:val="28"/>
                <w:szCs w:val="28"/>
              </w:rPr>
            </w:pPr>
            <w:r w:rsidRPr="003E6A82">
              <w:rPr>
                <w:bCs/>
                <w:sz w:val="28"/>
                <w:szCs w:val="28"/>
              </w:rPr>
              <w:t>Глав</w:t>
            </w:r>
            <w:r w:rsidR="005859C1">
              <w:rPr>
                <w:bCs/>
                <w:sz w:val="28"/>
                <w:szCs w:val="28"/>
              </w:rPr>
              <w:t>ам</w:t>
            </w:r>
            <w:r w:rsidRPr="003E6A82">
              <w:rPr>
                <w:bCs/>
                <w:sz w:val="28"/>
                <w:szCs w:val="28"/>
              </w:rPr>
              <w:t xml:space="preserve"> администраци</w:t>
            </w:r>
            <w:r w:rsidR="005859C1">
              <w:rPr>
                <w:bCs/>
                <w:sz w:val="28"/>
                <w:szCs w:val="28"/>
              </w:rPr>
              <w:t>й</w:t>
            </w:r>
          </w:p>
          <w:p w:rsidR="00E07A13" w:rsidRPr="003E6A82" w:rsidRDefault="00486829" w:rsidP="00C744F2">
            <w:pPr>
              <w:rPr>
                <w:bCs/>
                <w:sz w:val="28"/>
                <w:szCs w:val="28"/>
              </w:rPr>
            </w:pPr>
            <w:r w:rsidRPr="003E6A82">
              <w:rPr>
                <w:bCs/>
                <w:sz w:val="28"/>
                <w:szCs w:val="28"/>
              </w:rPr>
              <w:t>м</w:t>
            </w:r>
            <w:r w:rsidR="00E07A13" w:rsidRPr="003E6A82">
              <w:rPr>
                <w:bCs/>
                <w:sz w:val="28"/>
                <w:szCs w:val="28"/>
              </w:rPr>
              <w:t>униципальн</w:t>
            </w:r>
            <w:r w:rsidR="005859C1">
              <w:rPr>
                <w:bCs/>
                <w:sz w:val="28"/>
                <w:szCs w:val="28"/>
              </w:rPr>
              <w:t>ых</w:t>
            </w:r>
            <w:r w:rsidR="00E07A13" w:rsidRPr="003E6A82">
              <w:rPr>
                <w:bCs/>
                <w:sz w:val="28"/>
                <w:szCs w:val="28"/>
              </w:rPr>
              <w:t xml:space="preserve"> образовани</w:t>
            </w:r>
            <w:r w:rsidR="005859C1">
              <w:rPr>
                <w:bCs/>
                <w:sz w:val="28"/>
                <w:szCs w:val="28"/>
              </w:rPr>
              <w:t>й</w:t>
            </w:r>
          </w:p>
          <w:p w:rsidR="00E03580" w:rsidRPr="003E6A82" w:rsidRDefault="00E03580" w:rsidP="00684CE5">
            <w:pPr>
              <w:rPr>
                <w:sz w:val="28"/>
                <w:szCs w:val="28"/>
              </w:rPr>
            </w:pPr>
          </w:p>
        </w:tc>
      </w:tr>
      <w:tr w:rsidR="007808DE" w:rsidTr="00C87F27">
        <w:tblPrEx>
          <w:tblLook w:val="01E0"/>
        </w:tblPrEx>
        <w:trPr>
          <w:gridAfter w:val="1"/>
          <w:wAfter w:w="2303" w:type="dxa"/>
        </w:trPr>
        <w:tc>
          <w:tcPr>
            <w:tcW w:w="4785" w:type="dxa"/>
          </w:tcPr>
          <w:p w:rsidR="007808DE" w:rsidRDefault="004B4755" w:rsidP="00C744F2">
            <w:pPr>
              <w:rPr>
                <w:sz w:val="28"/>
                <w:szCs w:val="28"/>
                <w:u w:val="single"/>
              </w:rPr>
            </w:pPr>
            <w:r w:rsidRPr="00397716">
              <w:rPr>
                <w:sz w:val="28"/>
                <w:szCs w:val="28"/>
              </w:rPr>
              <w:t xml:space="preserve">        </w:t>
            </w:r>
          </w:p>
        </w:tc>
        <w:tc>
          <w:tcPr>
            <w:tcW w:w="4785" w:type="dxa"/>
            <w:gridSpan w:val="2"/>
          </w:tcPr>
          <w:p w:rsidR="007808DE" w:rsidRDefault="007808DE" w:rsidP="00C744F2">
            <w:pPr>
              <w:rPr>
                <w:sz w:val="28"/>
                <w:szCs w:val="28"/>
              </w:rPr>
            </w:pPr>
          </w:p>
        </w:tc>
      </w:tr>
    </w:tbl>
    <w:p w:rsidR="007808DE" w:rsidRPr="00E95CF3" w:rsidRDefault="007808DE" w:rsidP="007808DE">
      <w:pPr>
        <w:ind w:left="355" w:firstLine="365"/>
        <w:jc w:val="center"/>
        <w:rPr>
          <w:sz w:val="28"/>
          <w:szCs w:val="28"/>
        </w:rPr>
      </w:pPr>
      <w:r w:rsidRPr="003E6A82">
        <w:rPr>
          <w:sz w:val="28"/>
          <w:szCs w:val="28"/>
        </w:rPr>
        <w:t>Уважаем</w:t>
      </w:r>
      <w:r w:rsidR="005859C1">
        <w:rPr>
          <w:sz w:val="28"/>
          <w:szCs w:val="28"/>
        </w:rPr>
        <w:t>ые</w:t>
      </w:r>
      <w:r w:rsidR="00122522">
        <w:rPr>
          <w:sz w:val="28"/>
          <w:szCs w:val="28"/>
        </w:rPr>
        <w:t xml:space="preserve"> </w:t>
      </w:r>
      <w:r w:rsidR="005859C1">
        <w:rPr>
          <w:sz w:val="28"/>
          <w:szCs w:val="28"/>
        </w:rPr>
        <w:t>коллеги</w:t>
      </w:r>
      <w:r w:rsidR="00C744F2" w:rsidRPr="003E6A82">
        <w:rPr>
          <w:sz w:val="28"/>
          <w:szCs w:val="28"/>
        </w:rPr>
        <w:t>!</w:t>
      </w:r>
    </w:p>
    <w:p w:rsidR="003E6A82" w:rsidRPr="00E95CF3" w:rsidRDefault="003E6A82" w:rsidP="007808DE">
      <w:pPr>
        <w:ind w:left="355" w:firstLine="365"/>
        <w:jc w:val="center"/>
        <w:rPr>
          <w:sz w:val="28"/>
          <w:szCs w:val="28"/>
        </w:rPr>
      </w:pPr>
    </w:p>
    <w:p w:rsidR="00121FF4" w:rsidRDefault="00121FF4" w:rsidP="00121FF4">
      <w:pPr>
        <w:autoSpaceDE w:val="0"/>
        <w:autoSpaceDN w:val="0"/>
        <w:adjustRightInd w:val="0"/>
        <w:ind w:firstLine="540"/>
        <w:jc w:val="both"/>
        <w:rPr>
          <w:bCs/>
          <w:sz w:val="28"/>
        </w:rPr>
      </w:pPr>
      <w:proofErr w:type="gramStart"/>
      <w:r>
        <w:rPr>
          <w:bCs/>
          <w:sz w:val="28"/>
        </w:rPr>
        <w:t>В ходе проверок</w:t>
      </w:r>
      <w:r w:rsidRPr="00121FF4">
        <w:rPr>
          <w:color w:val="0070C0"/>
          <w:sz w:val="28"/>
        </w:rPr>
        <w:t xml:space="preserve"> </w:t>
      </w:r>
      <w:r>
        <w:rPr>
          <w:color w:val="0070C0"/>
          <w:sz w:val="28"/>
        </w:rPr>
        <w:t xml:space="preserve"> </w:t>
      </w:r>
      <w:r w:rsidRPr="00121FF4">
        <w:rPr>
          <w:sz w:val="28"/>
        </w:rPr>
        <w:t>целевого использования бюджетных средств, направленных на финансирование всего комплекса работ и мероприятий по содержанию, ремонту, реконструкции и строительству автомобильных дорог местного значения</w:t>
      </w:r>
      <w:r w:rsidRPr="00121FF4">
        <w:rPr>
          <w:bCs/>
          <w:sz w:val="28"/>
        </w:rPr>
        <w:t>, проводимых Министерством транспорта и дорожного</w:t>
      </w:r>
      <w:r>
        <w:rPr>
          <w:bCs/>
          <w:sz w:val="28"/>
        </w:rPr>
        <w:t xml:space="preserve"> хозяйства Удмуртской Республики в администрациях муниципальных образований, выявляются факты  отражения операций по учету капитальных вложений и вводу объектов</w:t>
      </w:r>
      <w:r w:rsidR="00BC08C8">
        <w:rPr>
          <w:bCs/>
          <w:sz w:val="28"/>
        </w:rPr>
        <w:t xml:space="preserve"> в эксплуатацию</w:t>
      </w:r>
      <w:r>
        <w:rPr>
          <w:bCs/>
          <w:sz w:val="28"/>
        </w:rPr>
        <w:t xml:space="preserve"> с отклонением от  инструкций Министерства финансов Российской Федерации.</w:t>
      </w:r>
      <w:proofErr w:type="gramEnd"/>
    </w:p>
    <w:p w:rsidR="00121FF4" w:rsidRDefault="00121FF4" w:rsidP="00121FF4">
      <w:pPr>
        <w:autoSpaceDE w:val="0"/>
        <w:autoSpaceDN w:val="0"/>
        <w:adjustRightInd w:val="0"/>
        <w:ind w:firstLine="540"/>
        <w:jc w:val="both"/>
        <w:rPr>
          <w:bCs/>
          <w:sz w:val="28"/>
        </w:rPr>
      </w:pPr>
      <w:r>
        <w:rPr>
          <w:bCs/>
          <w:sz w:val="28"/>
        </w:rPr>
        <w:t xml:space="preserve">Миндортранс УР доводит до Вашего сведения и исполнения </w:t>
      </w:r>
      <w:proofErr w:type="gramStart"/>
      <w:r w:rsidR="002B189F">
        <w:rPr>
          <w:bCs/>
          <w:sz w:val="28"/>
        </w:rPr>
        <w:t>разъяснения пунктов</w:t>
      </w:r>
      <w:r>
        <w:rPr>
          <w:bCs/>
          <w:sz w:val="28"/>
        </w:rPr>
        <w:t xml:space="preserve"> инструкций Министерства финансов Российской Федерации</w:t>
      </w:r>
      <w:proofErr w:type="gramEnd"/>
      <w:r>
        <w:rPr>
          <w:bCs/>
          <w:sz w:val="28"/>
        </w:rPr>
        <w:t xml:space="preserve"> в части отражения в бюджетном учете операций по реконструкции и строительству автомобильных дорог.</w:t>
      </w:r>
    </w:p>
    <w:p w:rsidR="00121FF4" w:rsidRDefault="00BC08C8" w:rsidP="00121FF4">
      <w:pPr>
        <w:autoSpaceDE w:val="0"/>
        <w:autoSpaceDN w:val="0"/>
        <w:adjustRightInd w:val="0"/>
        <w:ind w:firstLine="540"/>
        <w:jc w:val="both"/>
        <w:rPr>
          <w:rFonts w:eastAsiaTheme="minorHAnsi"/>
          <w:sz w:val="28"/>
          <w:szCs w:val="28"/>
          <w:lang w:eastAsia="en-US"/>
        </w:rPr>
      </w:pPr>
      <w:r>
        <w:rPr>
          <w:bCs/>
          <w:sz w:val="28"/>
        </w:rPr>
        <w:t xml:space="preserve">Учет операций </w:t>
      </w:r>
      <w:proofErr w:type="gramStart"/>
      <w:r>
        <w:rPr>
          <w:bCs/>
          <w:sz w:val="28"/>
        </w:rPr>
        <w:t xml:space="preserve">по </w:t>
      </w:r>
      <w:r w:rsidR="00121FF4" w:rsidRPr="00197615">
        <w:rPr>
          <w:bCs/>
          <w:sz w:val="28"/>
        </w:rPr>
        <w:t>вложения</w:t>
      </w:r>
      <w:r>
        <w:rPr>
          <w:bCs/>
          <w:sz w:val="28"/>
        </w:rPr>
        <w:t>м</w:t>
      </w:r>
      <w:r w:rsidR="00121FF4" w:rsidRPr="00197615">
        <w:rPr>
          <w:bCs/>
          <w:sz w:val="28"/>
        </w:rPr>
        <w:t xml:space="preserve"> в объекты основных средств</w:t>
      </w:r>
      <w:r w:rsidR="00121FF4">
        <w:rPr>
          <w:bCs/>
          <w:sz w:val="28"/>
        </w:rPr>
        <w:t xml:space="preserve"> по автомобильным дорогам </w:t>
      </w:r>
      <w:r w:rsidR="00121FF4" w:rsidRPr="00197615">
        <w:rPr>
          <w:bCs/>
          <w:sz w:val="28"/>
        </w:rPr>
        <w:t xml:space="preserve"> в соответствии с пунктом</w:t>
      </w:r>
      <w:proofErr w:type="gramEnd"/>
      <w:r w:rsidR="00121FF4" w:rsidRPr="00197615">
        <w:rPr>
          <w:bCs/>
          <w:sz w:val="28"/>
        </w:rPr>
        <w:t xml:space="preserve"> 130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и пунктом 31</w:t>
      </w:r>
      <w:r w:rsidR="00121FF4">
        <w:rPr>
          <w:bCs/>
          <w:sz w:val="28"/>
        </w:rPr>
        <w:t xml:space="preserve"> </w:t>
      </w:r>
      <w:r w:rsidR="00121FF4" w:rsidRPr="00197615">
        <w:rPr>
          <w:bCs/>
          <w:sz w:val="28"/>
        </w:rPr>
        <w:t>Инструкции по применению Плана счетов бюджетного учета,  утвержденной Приказом Минфина России от 06.12.2010 № 162н</w:t>
      </w:r>
      <w:r w:rsidR="00121FF4">
        <w:rPr>
          <w:bCs/>
          <w:sz w:val="28"/>
        </w:rPr>
        <w:t>,</w:t>
      </w:r>
      <w:r w:rsidR="00121FF4" w:rsidRPr="00197615">
        <w:rPr>
          <w:bCs/>
          <w:sz w:val="28"/>
        </w:rPr>
        <w:t xml:space="preserve"> отраж</w:t>
      </w:r>
      <w:r w:rsidR="00121FF4">
        <w:rPr>
          <w:bCs/>
          <w:sz w:val="28"/>
        </w:rPr>
        <w:t xml:space="preserve">аются </w:t>
      </w:r>
      <w:r w:rsidR="00121FF4" w:rsidRPr="00197615">
        <w:rPr>
          <w:bCs/>
          <w:sz w:val="28"/>
        </w:rPr>
        <w:t>по счету</w:t>
      </w:r>
      <w:r w:rsidR="00121FF4">
        <w:rPr>
          <w:bCs/>
          <w:sz w:val="28"/>
        </w:rPr>
        <w:t xml:space="preserve">  1 </w:t>
      </w:r>
      <w:r w:rsidR="00121FF4" w:rsidRPr="00197615">
        <w:rPr>
          <w:bCs/>
          <w:sz w:val="28"/>
        </w:rPr>
        <w:t>106</w:t>
      </w:r>
      <w:r w:rsidR="00121FF4">
        <w:rPr>
          <w:bCs/>
          <w:sz w:val="28"/>
        </w:rPr>
        <w:t xml:space="preserve"> </w:t>
      </w:r>
      <w:r w:rsidR="00121FF4" w:rsidRPr="00197615">
        <w:rPr>
          <w:bCs/>
          <w:sz w:val="28"/>
        </w:rPr>
        <w:t>11 «</w:t>
      </w:r>
      <w:r w:rsidR="00121FF4">
        <w:rPr>
          <w:rFonts w:eastAsiaTheme="minorHAnsi"/>
          <w:sz w:val="28"/>
          <w:szCs w:val="28"/>
          <w:lang w:eastAsia="en-US"/>
        </w:rPr>
        <w:t>Вложения в основные средства - недвижимое имущество учреждения</w:t>
      </w:r>
      <w:r w:rsidR="00121FF4" w:rsidRPr="00197615">
        <w:rPr>
          <w:bCs/>
          <w:sz w:val="28"/>
        </w:rPr>
        <w:t>»</w:t>
      </w:r>
      <w:r w:rsidR="00121FF4">
        <w:rPr>
          <w:bCs/>
          <w:sz w:val="28"/>
        </w:rPr>
        <w:t xml:space="preserve"> в корреспонденции со счетом </w:t>
      </w:r>
      <w:r w:rsidR="00121FF4">
        <w:rPr>
          <w:rFonts w:eastAsiaTheme="minorHAnsi"/>
          <w:sz w:val="28"/>
          <w:szCs w:val="28"/>
          <w:lang w:eastAsia="en-US"/>
        </w:rPr>
        <w:t>1 302 </w:t>
      </w:r>
      <w:r>
        <w:rPr>
          <w:rFonts w:eastAsiaTheme="minorHAnsi"/>
          <w:sz w:val="28"/>
          <w:szCs w:val="28"/>
          <w:lang w:eastAsia="en-US"/>
        </w:rPr>
        <w:t>00</w:t>
      </w:r>
      <w:r w:rsidR="00121FF4">
        <w:rPr>
          <w:rFonts w:eastAsiaTheme="minorHAnsi"/>
          <w:sz w:val="28"/>
          <w:szCs w:val="28"/>
          <w:lang w:eastAsia="en-US"/>
        </w:rPr>
        <w:t xml:space="preserve"> 730 «Расчеты по приобретению основных средств». </w:t>
      </w:r>
      <w:r>
        <w:rPr>
          <w:rFonts w:eastAsiaTheme="minorHAnsi"/>
          <w:sz w:val="28"/>
          <w:szCs w:val="28"/>
          <w:lang w:eastAsia="en-US"/>
        </w:rPr>
        <w:t>Все затраты, произведенные по объекту в ходе</w:t>
      </w:r>
      <w:r w:rsidR="00C87F27">
        <w:rPr>
          <w:rFonts w:eastAsiaTheme="minorHAnsi"/>
          <w:sz w:val="28"/>
          <w:szCs w:val="28"/>
          <w:lang w:eastAsia="en-US"/>
        </w:rPr>
        <w:t xml:space="preserve"> строительства и реконструкции</w:t>
      </w:r>
      <w:r w:rsidR="00423CC0">
        <w:rPr>
          <w:rFonts w:eastAsiaTheme="minorHAnsi"/>
          <w:sz w:val="28"/>
          <w:szCs w:val="28"/>
          <w:lang w:eastAsia="en-US"/>
        </w:rPr>
        <w:t>,</w:t>
      </w:r>
      <w:r w:rsidR="00C87F27">
        <w:rPr>
          <w:rFonts w:eastAsiaTheme="minorHAnsi"/>
          <w:sz w:val="28"/>
          <w:szCs w:val="28"/>
          <w:lang w:eastAsia="en-US"/>
        </w:rPr>
        <w:t xml:space="preserve"> согласно сводному сметному расчету</w:t>
      </w:r>
      <w:r w:rsidR="00423CC0">
        <w:rPr>
          <w:rFonts w:eastAsiaTheme="minorHAnsi"/>
          <w:sz w:val="28"/>
          <w:szCs w:val="28"/>
          <w:lang w:eastAsia="en-US"/>
        </w:rPr>
        <w:t xml:space="preserve"> стоимости строительства</w:t>
      </w:r>
      <w:r w:rsidR="00C87F27">
        <w:rPr>
          <w:rFonts w:eastAsiaTheme="minorHAnsi"/>
          <w:sz w:val="28"/>
          <w:szCs w:val="28"/>
          <w:lang w:eastAsia="en-US"/>
        </w:rPr>
        <w:t xml:space="preserve"> </w:t>
      </w:r>
      <w:r>
        <w:rPr>
          <w:rFonts w:eastAsiaTheme="minorHAnsi"/>
          <w:sz w:val="28"/>
          <w:szCs w:val="28"/>
          <w:lang w:eastAsia="en-US"/>
        </w:rPr>
        <w:t xml:space="preserve">формируют стоимость основного средства на счете </w:t>
      </w:r>
      <w:r>
        <w:rPr>
          <w:bCs/>
          <w:sz w:val="28"/>
        </w:rPr>
        <w:t xml:space="preserve">1 </w:t>
      </w:r>
      <w:r w:rsidRPr="00197615">
        <w:rPr>
          <w:bCs/>
          <w:sz w:val="28"/>
        </w:rPr>
        <w:t>106</w:t>
      </w:r>
      <w:r>
        <w:rPr>
          <w:bCs/>
          <w:sz w:val="28"/>
        </w:rPr>
        <w:t xml:space="preserve"> </w:t>
      </w:r>
      <w:r w:rsidRPr="00197615">
        <w:rPr>
          <w:bCs/>
          <w:sz w:val="28"/>
        </w:rPr>
        <w:t>11</w:t>
      </w:r>
      <w:r>
        <w:rPr>
          <w:bCs/>
          <w:sz w:val="28"/>
        </w:rPr>
        <w:t>. К таким расходам относятся расходы на проектно-изыскательские работы, проведение экспертизы проектной документации, строительно-монтажные работы, расходы на оказание услуг по авторскому</w:t>
      </w:r>
      <w:r w:rsidRPr="00197615">
        <w:rPr>
          <w:bCs/>
          <w:sz w:val="28"/>
        </w:rPr>
        <w:t xml:space="preserve"> </w:t>
      </w:r>
      <w:r>
        <w:rPr>
          <w:rFonts w:eastAsiaTheme="minorHAnsi"/>
          <w:sz w:val="28"/>
          <w:szCs w:val="28"/>
          <w:lang w:eastAsia="en-US"/>
        </w:rPr>
        <w:t xml:space="preserve"> и строительному надзору, расходы на выкуп земли и т.д.</w:t>
      </w:r>
    </w:p>
    <w:p w:rsidR="00121FF4" w:rsidRDefault="00121FF4" w:rsidP="00121FF4">
      <w:pPr>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 xml:space="preserve">В соответствии с пунктом 34 </w:t>
      </w:r>
      <w:r w:rsidRPr="00197615">
        <w:rPr>
          <w:bCs/>
          <w:sz w:val="28"/>
        </w:rPr>
        <w:t>Инструкции по применению Плана счетов бюджетного учета,  утвержденной Приказом Минфина России от 06.12.2010 № 162н</w:t>
      </w:r>
      <w:r>
        <w:rPr>
          <w:bCs/>
          <w:sz w:val="28"/>
        </w:rPr>
        <w:t>,</w:t>
      </w:r>
      <w:r w:rsidRPr="00197615">
        <w:rPr>
          <w:bCs/>
          <w:sz w:val="28"/>
        </w:rPr>
        <w:t xml:space="preserve"> </w:t>
      </w:r>
      <w:r>
        <w:rPr>
          <w:bCs/>
          <w:sz w:val="28"/>
        </w:rPr>
        <w:t>з</w:t>
      </w:r>
      <w:r>
        <w:rPr>
          <w:rFonts w:eastAsiaTheme="minorHAnsi"/>
          <w:sz w:val="28"/>
          <w:szCs w:val="28"/>
          <w:lang w:eastAsia="en-US"/>
        </w:rPr>
        <w:t xml:space="preserve">аконченные строительством и реконструкцией объекты по автомобильным дорогам на основании Актов о приеме-передаче здания (сооружения) </w:t>
      </w:r>
      <w:hyperlink r:id="rId8" w:history="1">
        <w:r w:rsidRPr="0083461E">
          <w:rPr>
            <w:rFonts w:eastAsiaTheme="minorHAnsi"/>
            <w:sz w:val="28"/>
            <w:szCs w:val="28"/>
            <w:lang w:eastAsia="en-US"/>
          </w:rPr>
          <w:t>(ф. 0306030)</w:t>
        </w:r>
      </w:hyperlink>
      <w:r>
        <w:rPr>
          <w:rFonts w:eastAsiaTheme="minorHAnsi"/>
          <w:sz w:val="28"/>
          <w:szCs w:val="28"/>
          <w:lang w:eastAsia="en-US"/>
        </w:rPr>
        <w:t xml:space="preserve">,  </w:t>
      </w:r>
      <w:r>
        <w:rPr>
          <w:rFonts w:eastAsiaTheme="minorHAnsi"/>
          <w:sz w:val="28"/>
          <w:szCs w:val="28"/>
          <w:lang w:eastAsia="en-US"/>
        </w:rPr>
        <w:lastRenderedPageBreak/>
        <w:t>а также на основании Разрешения на ввод объекта в эксплуатацию отражаются по дебету счета 1 101 13 «Сооружения  - недвижимое имущество учреждения»</w:t>
      </w:r>
      <w:r w:rsidR="002B189F" w:rsidRPr="002B189F">
        <w:rPr>
          <w:bCs/>
          <w:sz w:val="28"/>
        </w:rPr>
        <w:t xml:space="preserve"> </w:t>
      </w:r>
      <w:r w:rsidR="002B189F">
        <w:rPr>
          <w:bCs/>
          <w:sz w:val="28"/>
        </w:rPr>
        <w:t>или счета 1</w:t>
      </w:r>
      <w:proofErr w:type="gramEnd"/>
      <w:r w:rsidR="002B189F">
        <w:rPr>
          <w:bCs/>
          <w:sz w:val="28"/>
        </w:rPr>
        <w:t> 108 51</w:t>
      </w:r>
      <w:r w:rsidR="002B189F">
        <w:rPr>
          <w:rFonts w:eastAsia="Times New Roman"/>
          <w:sz w:val="28"/>
          <w:szCs w:val="28"/>
          <w:lang w:eastAsia="ru-RU"/>
        </w:rPr>
        <w:t xml:space="preserve"> «Недвижимое имущество, составляющее казну»</w:t>
      </w:r>
      <w:r>
        <w:rPr>
          <w:rFonts w:eastAsiaTheme="minorHAnsi"/>
          <w:sz w:val="28"/>
          <w:szCs w:val="28"/>
          <w:lang w:eastAsia="en-US"/>
        </w:rPr>
        <w:t xml:space="preserve"> </w:t>
      </w:r>
      <w:r>
        <w:rPr>
          <w:bCs/>
          <w:sz w:val="28"/>
        </w:rPr>
        <w:t>в корреспонденции со счетом 1 106 11</w:t>
      </w:r>
      <w:r w:rsidR="00A21137">
        <w:rPr>
          <w:bCs/>
          <w:sz w:val="28"/>
        </w:rPr>
        <w:t xml:space="preserve"> </w:t>
      </w:r>
      <w:r w:rsidRPr="00197615">
        <w:rPr>
          <w:bCs/>
          <w:sz w:val="28"/>
        </w:rPr>
        <w:t>«</w:t>
      </w:r>
      <w:r>
        <w:rPr>
          <w:rFonts w:eastAsiaTheme="minorHAnsi"/>
          <w:sz w:val="28"/>
          <w:szCs w:val="28"/>
          <w:lang w:eastAsia="en-US"/>
        </w:rPr>
        <w:t>Вложения в основные средства - недвижимое имущество учреждения</w:t>
      </w:r>
      <w:r w:rsidRPr="00197615">
        <w:rPr>
          <w:bCs/>
          <w:sz w:val="28"/>
        </w:rPr>
        <w:t>»</w:t>
      </w:r>
      <w:r>
        <w:rPr>
          <w:rFonts w:eastAsiaTheme="minorHAnsi"/>
          <w:sz w:val="28"/>
          <w:szCs w:val="28"/>
          <w:lang w:eastAsia="en-US"/>
        </w:rPr>
        <w:t xml:space="preserve">. </w:t>
      </w:r>
    </w:p>
    <w:p w:rsidR="00121FF4" w:rsidRDefault="00121FF4" w:rsidP="00121FF4">
      <w:pPr>
        <w:autoSpaceDE w:val="0"/>
        <w:autoSpaceDN w:val="0"/>
        <w:adjustRightInd w:val="0"/>
        <w:ind w:firstLine="540"/>
        <w:jc w:val="both"/>
        <w:rPr>
          <w:rFonts w:eastAsiaTheme="minorHAnsi"/>
          <w:sz w:val="28"/>
          <w:szCs w:val="28"/>
          <w:lang w:eastAsia="en-US"/>
        </w:rPr>
      </w:pPr>
      <w:proofErr w:type="gramStart"/>
      <w:r>
        <w:rPr>
          <w:bCs/>
          <w:sz w:val="28"/>
        </w:rPr>
        <w:t>В</w:t>
      </w:r>
      <w:r w:rsidRPr="00197615">
        <w:rPr>
          <w:bCs/>
          <w:sz w:val="28"/>
        </w:rPr>
        <w:t xml:space="preserve"> соответствии с пунктом </w:t>
      </w:r>
      <w:r>
        <w:rPr>
          <w:bCs/>
          <w:sz w:val="28"/>
        </w:rPr>
        <w:t>44</w:t>
      </w:r>
      <w:r w:rsidRPr="00197615">
        <w:rPr>
          <w:bCs/>
          <w:sz w:val="28"/>
        </w:rP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w:t>
      </w:r>
      <w:r>
        <w:rPr>
          <w:bCs/>
          <w:sz w:val="28"/>
        </w:rPr>
        <w:t xml:space="preserve">, решением </w:t>
      </w:r>
      <w:r>
        <w:rPr>
          <w:rFonts w:eastAsiaTheme="minorHAnsi"/>
          <w:sz w:val="28"/>
          <w:szCs w:val="28"/>
          <w:lang w:eastAsia="en-US"/>
        </w:rPr>
        <w:t xml:space="preserve"> комиссии </w:t>
      </w:r>
      <w:r w:rsidR="002B189F">
        <w:rPr>
          <w:rFonts w:eastAsiaTheme="minorHAnsi"/>
          <w:sz w:val="28"/>
          <w:szCs w:val="28"/>
          <w:lang w:eastAsia="en-US"/>
        </w:rPr>
        <w:t xml:space="preserve">учреждения </w:t>
      </w:r>
      <w:r>
        <w:rPr>
          <w:rFonts w:eastAsiaTheme="minorHAnsi"/>
          <w:sz w:val="28"/>
          <w:szCs w:val="28"/>
          <w:lang w:eastAsia="en-US"/>
        </w:rPr>
        <w:t xml:space="preserve">по поступлению и выбытию активов должны  пересматриваться сроки полезного использования элементов дорог по введенным объектам </w:t>
      </w:r>
      <w:r w:rsidR="00A21137">
        <w:rPr>
          <w:rFonts w:eastAsiaTheme="minorHAnsi"/>
          <w:sz w:val="28"/>
          <w:szCs w:val="28"/>
          <w:lang w:eastAsia="en-US"/>
        </w:rPr>
        <w:t>строительства и</w:t>
      </w:r>
      <w:proofErr w:type="gramEnd"/>
      <w:r w:rsidR="00A21137">
        <w:rPr>
          <w:rFonts w:eastAsiaTheme="minorHAnsi"/>
          <w:sz w:val="28"/>
          <w:szCs w:val="28"/>
          <w:lang w:eastAsia="en-US"/>
        </w:rPr>
        <w:t xml:space="preserve"> </w:t>
      </w:r>
      <w:r>
        <w:rPr>
          <w:rFonts w:eastAsiaTheme="minorHAnsi"/>
          <w:sz w:val="28"/>
          <w:szCs w:val="28"/>
          <w:lang w:eastAsia="en-US"/>
        </w:rPr>
        <w:t xml:space="preserve">реконструкции.  </w:t>
      </w:r>
    </w:p>
    <w:p w:rsidR="00DD4C8E" w:rsidRPr="00DD4C8E" w:rsidRDefault="00DD4C8E" w:rsidP="00121FF4">
      <w:pPr>
        <w:ind w:firstLine="540"/>
        <w:jc w:val="both"/>
        <w:rPr>
          <w:sz w:val="28"/>
          <w:szCs w:val="28"/>
        </w:rPr>
      </w:pPr>
      <w:r>
        <w:rPr>
          <w:sz w:val="28"/>
          <w:szCs w:val="28"/>
        </w:rPr>
        <w:t xml:space="preserve">Миндортранс УР обращает Ваше внимание на </w:t>
      </w:r>
      <w:r w:rsidR="00D80A62">
        <w:rPr>
          <w:sz w:val="28"/>
          <w:szCs w:val="28"/>
        </w:rPr>
        <w:t xml:space="preserve">необходимость учета в работе </w:t>
      </w:r>
      <w:proofErr w:type="gramStart"/>
      <w:r w:rsidR="00121FF4">
        <w:rPr>
          <w:bCs/>
          <w:sz w:val="28"/>
        </w:rPr>
        <w:t>положени</w:t>
      </w:r>
      <w:r w:rsidR="00876214">
        <w:rPr>
          <w:bCs/>
          <w:sz w:val="28"/>
        </w:rPr>
        <w:t>й</w:t>
      </w:r>
      <w:r w:rsidR="00121FF4">
        <w:rPr>
          <w:bCs/>
          <w:sz w:val="28"/>
        </w:rPr>
        <w:t xml:space="preserve"> инструкций Министерства финансов Российской Федерации</w:t>
      </w:r>
      <w:proofErr w:type="gramEnd"/>
      <w:r w:rsidR="00121FF4">
        <w:rPr>
          <w:bCs/>
          <w:sz w:val="28"/>
        </w:rPr>
        <w:t xml:space="preserve"> </w:t>
      </w:r>
      <w:r w:rsidR="002B189F">
        <w:rPr>
          <w:sz w:val="28"/>
          <w:szCs w:val="28"/>
        </w:rPr>
        <w:t>при</w:t>
      </w:r>
      <w:r w:rsidR="00121FF4">
        <w:rPr>
          <w:sz w:val="28"/>
          <w:szCs w:val="28"/>
        </w:rPr>
        <w:t xml:space="preserve"> отражени</w:t>
      </w:r>
      <w:r w:rsidR="002B189F">
        <w:rPr>
          <w:sz w:val="28"/>
          <w:szCs w:val="28"/>
        </w:rPr>
        <w:t>и</w:t>
      </w:r>
      <w:r w:rsidR="00121FF4">
        <w:rPr>
          <w:sz w:val="28"/>
          <w:szCs w:val="28"/>
        </w:rPr>
        <w:t xml:space="preserve"> операций </w:t>
      </w:r>
      <w:r w:rsidR="00A21137">
        <w:rPr>
          <w:sz w:val="28"/>
          <w:szCs w:val="28"/>
        </w:rPr>
        <w:t xml:space="preserve">по объектам строительства и реконструкции автомобильных дорог.  </w:t>
      </w:r>
      <w:r w:rsidR="002B189F">
        <w:rPr>
          <w:sz w:val="28"/>
          <w:szCs w:val="28"/>
        </w:rPr>
        <w:t xml:space="preserve">В случае некорректного отражения операций в учете в 2011-2012 годах необходимо в бюджетном учете 2013 года восстановить стоимость объектов основных средств исправительными проводками. </w:t>
      </w:r>
    </w:p>
    <w:p w:rsidR="00E07A13" w:rsidRPr="00FE44BF" w:rsidRDefault="00E07A13" w:rsidP="007808DE">
      <w:pPr>
        <w:ind w:left="355" w:firstLine="365"/>
        <w:jc w:val="center"/>
        <w:rPr>
          <w:sz w:val="28"/>
          <w:szCs w:val="28"/>
        </w:rPr>
      </w:pPr>
    </w:p>
    <w:tbl>
      <w:tblPr>
        <w:tblW w:w="0" w:type="auto"/>
        <w:tblLook w:val="01E0"/>
      </w:tblPr>
      <w:tblGrid>
        <w:gridCol w:w="2235"/>
        <w:gridCol w:w="7796"/>
      </w:tblGrid>
      <w:tr w:rsidR="004B4755" w:rsidRPr="00397716" w:rsidTr="00E07A13">
        <w:tc>
          <w:tcPr>
            <w:tcW w:w="2235" w:type="dxa"/>
          </w:tcPr>
          <w:p w:rsidR="007808DE" w:rsidRDefault="007808DE" w:rsidP="00545C63">
            <w:pPr>
              <w:rPr>
                <w:sz w:val="28"/>
                <w:szCs w:val="28"/>
              </w:rPr>
            </w:pPr>
          </w:p>
          <w:p w:rsidR="004B4755" w:rsidRPr="00397716" w:rsidRDefault="00373A28" w:rsidP="00BD327E">
            <w:pPr>
              <w:rPr>
                <w:sz w:val="28"/>
                <w:szCs w:val="28"/>
              </w:rPr>
            </w:pPr>
            <w:r>
              <w:rPr>
                <w:sz w:val="28"/>
                <w:szCs w:val="28"/>
              </w:rPr>
              <w:t>Министр</w:t>
            </w:r>
            <w:r w:rsidR="004B4755" w:rsidRPr="00397716">
              <w:rPr>
                <w:sz w:val="28"/>
                <w:szCs w:val="28"/>
              </w:rPr>
              <w:t xml:space="preserve"> </w:t>
            </w:r>
          </w:p>
        </w:tc>
        <w:tc>
          <w:tcPr>
            <w:tcW w:w="7796" w:type="dxa"/>
          </w:tcPr>
          <w:p w:rsidR="004B4755" w:rsidRDefault="004B4755" w:rsidP="00373A28">
            <w:pPr>
              <w:jc w:val="right"/>
              <w:rPr>
                <w:sz w:val="28"/>
                <w:szCs w:val="28"/>
              </w:rPr>
            </w:pPr>
          </w:p>
          <w:p w:rsidR="00E07A13" w:rsidRPr="00397716" w:rsidRDefault="00E07A13" w:rsidP="00373A28">
            <w:pPr>
              <w:jc w:val="right"/>
              <w:rPr>
                <w:sz w:val="28"/>
                <w:szCs w:val="28"/>
              </w:rPr>
            </w:pPr>
            <w:r>
              <w:rPr>
                <w:sz w:val="28"/>
                <w:szCs w:val="28"/>
              </w:rPr>
              <w:t>О.В.Гарин</w:t>
            </w:r>
          </w:p>
        </w:tc>
      </w:tr>
      <w:tr w:rsidR="00E07A13" w:rsidRPr="00397716" w:rsidTr="00E07A13">
        <w:tc>
          <w:tcPr>
            <w:tcW w:w="2235" w:type="dxa"/>
          </w:tcPr>
          <w:p w:rsidR="00E07A13" w:rsidRDefault="00E07A13" w:rsidP="00545C63">
            <w:pPr>
              <w:rPr>
                <w:sz w:val="28"/>
                <w:szCs w:val="28"/>
              </w:rPr>
            </w:pPr>
          </w:p>
        </w:tc>
        <w:tc>
          <w:tcPr>
            <w:tcW w:w="7796" w:type="dxa"/>
          </w:tcPr>
          <w:p w:rsidR="00E07A13" w:rsidRPr="00397716" w:rsidRDefault="00E07A13" w:rsidP="00373A28">
            <w:pPr>
              <w:jc w:val="right"/>
              <w:rPr>
                <w:sz w:val="28"/>
                <w:szCs w:val="28"/>
              </w:rPr>
            </w:pPr>
          </w:p>
        </w:tc>
      </w:tr>
    </w:tbl>
    <w:p w:rsidR="004B4755" w:rsidRDefault="004B4755"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A21137" w:rsidRDefault="00A21137" w:rsidP="004B4755">
      <w:pPr>
        <w:rPr>
          <w:sz w:val="28"/>
          <w:szCs w:val="28"/>
        </w:rPr>
      </w:pPr>
    </w:p>
    <w:p w:rsidR="00100287" w:rsidRDefault="004B4755" w:rsidP="004B4755">
      <w:pPr>
        <w:rPr>
          <w:sz w:val="20"/>
          <w:szCs w:val="20"/>
        </w:rPr>
      </w:pPr>
      <w:r w:rsidRPr="004B4755">
        <w:rPr>
          <w:sz w:val="20"/>
          <w:szCs w:val="20"/>
        </w:rPr>
        <w:t xml:space="preserve">Исп. </w:t>
      </w:r>
    </w:p>
    <w:p w:rsidR="00F30AEB" w:rsidRDefault="004B4755" w:rsidP="009847CD">
      <w:pPr>
        <w:rPr>
          <w:sz w:val="20"/>
          <w:szCs w:val="20"/>
        </w:rPr>
      </w:pPr>
      <w:r w:rsidRPr="004B4755">
        <w:rPr>
          <w:sz w:val="20"/>
          <w:szCs w:val="20"/>
        </w:rPr>
        <w:t>Кузнецова Л</w:t>
      </w:r>
      <w:r w:rsidR="0063483F">
        <w:rPr>
          <w:sz w:val="20"/>
          <w:szCs w:val="20"/>
        </w:rPr>
        <w:t>.</w:t>
      </w:r>
      <w:r w:rsidR="00100287">
        <w:rPr>
          <w:sz w:val="20"/>
          <w:szCs w:val="20"/>
        </w:rPr>
        <w:t>Р</w:t>
      </w:r>
      <w:r w:rsidR="0063483F">
        <w:rPr>
          <w:sz w:val="20"/>
          <w:szCs w:val="20"/>
        </w:rPr>
        <w:t xml:space="preserve">. </w:t>
      </w:r>
      <w:r w:rsidRPr="004B4755">
        <w:rPr>
          <w:sz w:val="20"/>
          <w:szCs w:val="20"/>
        </w:rPr>
        <w:t>480-426</w:t>
      </w:r>
    </w:p>
    <w:sectPr w:rsidR="00F30AEB" w:rsidSect="00E82C24">
      <w:pgSz w:w="11906" w:h="16838" w:code="9"/>
      <w:pgMar w:top="1134" w:right="567" w:bottom="719" w:left="126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F27" w:rsidRDefault="00C87F27">
      <w:r>
        <w:separator/>
      </w:r>
    </w:p>
  </w:endnote>
  <w:endnote w:type="continuationSeparator" w:id="0">
    <w:p w:rsidR="00C87F27" w:rsidRDefault="00C87F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F27" w:rsidRDefault="00C87F27">
      <w:r>
        <w:separator/>
      </w:r>
    </w:p>
  </w:footnote>
  <w:footnote w:type="continuationSeparator" w:id="0">
    <w:p w:rsidR="00C87F27" w:rsidRDefault="00C87F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686FA4"/>
    <w:multiLevelType w:val="hybridMultilevel"/>
    <w:tmpl w:val="9C28559A"/>
    <w:lvl w:ilvl="0" w:tplc="6ADE4F3C">
      <w:start w:val="1"/>
      <w:numFmt w:val="decimal"/>
      <w:lvlText w:val="%1."/>
      <w:lvlJc w:val="left"/>
      <w:pPr>
        <w:ind w:left="1080" w:hanging="360"/>
      </w:pPr>
      <w:rPr>
        <w:rFonts w:ascii="Times New Roman" w:eastAsia="SimSun"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0142FE8"/>
    <w:multiLevelType w:val="hybridMultilevel"/>
    <w:tmpl w:val="C75486C4"/>
    <w:lvl w:ilvl="0" w:tplc="E44A7B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4B71952"/>
    <w:multiLevelType w:val="hybridMultilevel"/>
    <w:tmpl w:val="658E5A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294E39"/>
    <w:multiLevelType w:val="hybridMultilevel"/>
    <w:tmpl w:val="03BA300C"/>
    <w:lvl w:ilvl="0" w:tplc="57167BD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F05330"/>
    <w:multiLevelType w:val="hybridMultilevel"/>
    <w:tmpl w:val="996A128E"/>
    <w:lvl w:ilvl="0" w:tplc="9A68FB76">
      <w:start w:val="1"/>
      <w:numFmt w:val="decimal"/>
      <w:lvlText w:val="%1."/>
      <w:lvlJc w:val="left"/>
      <w:pPr>
        <w:tabs>
          <w:tab w:val="num" w:pos="1848"/>
        </w:tabs>
        <w:ind w:left="1848" w:hanging="114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5"/>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savePreviewPicture/>
  <w:footnotePr>
    <w:footnote w:id="-1"/>
    <w:footnote w:id="0"/>
  </w:footnotePr>
  <w:endnotePr>
    <w:endnote w:id="-1"/>
    <w:endnote w:id="0"/>
  </w:endnotePr>
  <w:compat/>
  <w:rsids>
    <w:rsidRoot w:val="00B92CAB"/>
    <w:rsid w:val="00020ECB"/>
    <w:rsid w:val="00063AC8"/>
    <w:rsid w:val="00071A72"/>
    <w:rsid w:val="000765F2"/>
    <w:rsid w:val="000A2DC8"/>
    <w:rsid w:val="000C2965"/>
    <w:rsid w:val="000C4D97"/>
    <w:rsid w:val="000C7B8E"/>
    <w:rsid w:val="000D6ABC"/>
    <w:rsid w:val="000F073F"/>
    <w:rsid w:val="000F4D0B"/>
    <w:rsid w:val="000F4D7C"/>
    <w:rsid w:val="000F688D"/>
    <w:rsid w:val="00100287"/>
    <w:rsid w:val="0010149F"/>
    <w:rsid w:val="00121FF4"/>
    <w:rsid w:val="00122522"/>
    <w:rsid w:val="00133DD8"/>
    <w:rsid w:val="00146BD5"/>
    <w:rsid w:val="001A0B2F"/>
    <w:rsid w:val="001E3C18"/>
    <w:rsid w:val="001E5D63"/>
    <w:rsid w:val="001E68A5"/>
    <w:rsid w:val="001F729A"/>
    <w:rsid w:val="00216552"/>
    <w:rsid w:val="002424BD"/>
    <w:rsid w:val="00277257"/>
    <w:rsid w:val="00286308"/>
    <w:rsid w:val="002B189F"/>
    <w:rsid w:val="00326DAE"/>
    <w:rsid w:val="0034195D"/>
    <w:rsid w:val="00342FF8"/>
    <w:rsid w:val="00343F66"/>
    <w:rsid w:val="00351A05"/>
    <w:rsid w:val="003569BA"/>
    <w:rsid w:val="00373A28"/>
    <w:rsid w:val="00376F42"/>
    <w:rsid w:val="00397716"/>
    <w:rsid w:val="003A1B4C"/>
    <w:rsid w:val="003A63A9"/>
    <w:rsid w:val="003C0E71"/>
    <w:rsid w:val="003C301D"/>
    <w:rsid w:val="003D5250"/>
    <w:rsid w:val="003E6A82"/>
    <w:rsid w:val="00413C10"/>
    <w:rsid w:val="00416572"/>
    <w:rsid w:val="00423CC0"/>
    <w:rsid w:val="00436768"/>
    <w:rsid w:val="00452E79"/>
    <w:rsid w:val="004617C9"/>
    <w:rsid w:val="00486829"/>
    <w:rsid w:val="00494AA2"/>
    <w:rsid w:val="004B2835"/>
    <w:rsid w:val="004B4755"/>
    <w:rsid w:val="004D531A"/>
    <w:rsid w:val="00501908"/>
    <w:rsid w:val="005060A9"/>
    <w:rsid w:val="00510457"/>
    <w:rsid w:val="00534680"/>
    <w:rsid w:val="00541A3D"/>
    <w:rsid w:val="00545C63"/>
    <w:rsid w:val="00561F20"/>
    <w:rsid w:val="00565FE3"/>
    <w:rsid w:val="00567B6F"/>
    <w:rsid w:val="00581574"/>
    <w:rsid w:val="005859C1"/>
    <w:rsid w:val="005C7D52"/>
    <w:rsid w:val="00606A48"/>
    <w:rsid w:val="00614F92"/>
    <w:rsid w:val="0063483F"/>
    <w:rsid w:val="00682570"/>
    <w:rsid w:val="00682670"/>
    <w:rsid w:val="00684CE5"/>
    <w:rsid w:val="00696A07"/>
    <w:rsid w:val="006D797E"/>
    <w:rsid w:val="006E613E"/>
    <w:rsid w:val="00733E93"/>
    <w:rsid w:val="00745D4A"/>
    <w:rsid w:val="007763E3"/>
    <w:rsid w:val="007808DE"/>
    <w:rsid w:val="007C6472"/>
    <w:rsid w:val="00821045"/>
    <w:rsid w:val="0086145E"/>
    <w:rsid w:val="00864B62"/>
    <w:rsid w:val="00876214"/>
    <w:rsid w:val="008B0018"/>
    <w:rsid w:val="008D2176"/>
    <w:rsid w:val="008E03A0"/>
    <w:rsid w:val="009847CD"/>
    <w:rsid w:val="00990C9C"/>
    <w:rsid w:val="009D1692"/>
    <w:rsid w:val="009D2655"/>
    <w:rsid w:val="00A21137"/>
    <w:rsid w:val="00A22F9E"/>
    <w:rsid w:val="00A5478E"/>
    <w:rsid w:val="00A70FA1"/>
    <w:rsid w:val="00A755C2"/>
    <w:rsid w:val="00A82ADD"/>
    <w:rsid w:val="00A84A76"/>
    <w:rsid w:val="00AA6F01"/>
    <w:rsid w:val="00AB53E5"/>
    <w:rsid w:val="00B10794"/>
    <w:rsid w:val="00B255D3"/>
    <w:rsid w:val="00B40E65"/>
    <w:rsid w:val="00B422E7"/>
    <w:rsid w:val="00B6176A"/>
    <w:rsid w:val="00B92CAB"/>
    <w:rsid w:val="00BA756D"/>
    <w:rsid w:val="00BC08C8"/>
    <w:rsid w:val="00BC6E4D"/>
    <w:rsid w:val="00BD327E"/>
    <w:rsid w:val="00C34AD7"/>
    <w:rsid w:val="00C744F2"/>
    <w:rsid w:val="00C84662"/>
    <w:rsid w:val="00C87F27"/>
    <w:rsid w:val="00CA6B51"/>
    <w:rsid w:val="00D01BB8"/>
    <w:rsid w:val="00D0425B"/>
    <w:rsid w:val="00D10174"/>
    <w:rsid w:val="00D12E27"/>
    <w:rsid w:val="00D6126F"/>
    <w:rsid w:val="00D70D23"/>
    <w:rsid w:val="00D76E7F"/>
    <w:rsid w:val="00D80A62"/>
    <w:rsid w:val="00D86D62"/>
    <w:rsid w:val="00D918F5"/>
    <w:rsid w:val="00DA7B25"/>
    <w:rsid w:val="00DD4C8E"/>
    <w:rsid w:val="00DE1253"/>
    <w:rsid w:val="00DE1BE3"/>
    <w:rsid w:val="00E03580"/>
    <w:rsid w:val="00E07A13"/>
    <w:rsid w:val="00E52875"/>
    <w:rsid w:val="00E55451"/>
    <w:rsid w:val="00E82C24"/>
    <w:rsid w:val="00E94CD2"/>
    <w:rsid w:val="00E95CF3"/>
    <w:rsid w:val="00EC45DA"/>
    <w:rsid w:val="00ED2B5C"/>
    <w:rsid w:val="00F0017E"/>
    <w:rsid w:val="00F15689"/>
    <w:rsid w:val="00F15968"/>
    <w:rsid w:val="00F30AEB"/>
    <w:rsid w:val="00F3330D"/>
    <w:rsid w:val="00F47650"/>
    <w:rsid w:val="00F6135B"/>
    <w:rsid w:val="00F61822"/>
    <w:rsid w:val="00F76009"/>
    <w:rsid w:val="00F94880"/>
    <w:rsid w:val="00FD1100"/>
    <w:rsid w:val="00FE4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2CAB"/>
    <w:rPr>
      <w:rFonts w:eastAsia="SimSun"/>
      <w:sz w:val="24"/>
      <w:szCs w:val="24"/>
      <w:lang w:eastAsia="zh-CN"/>
    </w:rPr>
  </w:style>
  <w:style w:type="paragraph" w:styleId="1">
    <w:name w:val="heading 1"/>
    <w:basedOn w:val="a"/>
    <w:next w:val="a"/>
    <w:qFormat/>
    <w:rsid w:val="009D2655"/>
    <w:pPr>
      <w:keepNext/>
      <w:spacing w:before="240" w:after="60"/>
      <w:outlineLvl w:val="0"/>
    </w:pPr>
    <w:rPr>
      <w:rFonts w:ascii="Arial" w:hAnsi="Arial" w:cs="Arial"/>
      <w:b/>
      <w:bCs/>
      <w:kern w:val="32"/>
      <w:sz w:val="32"/>
      <w:szCs w:val="32"/>
    </w:rPr>
  </w:style>
  <w:style w:type="paragraph" w:styleId="2">
    <w:name w:val="heading 2"/>
    <w:basedOn w:val="a"/>
    <w:next w:val="a"/>
    <w:qFormat/>
    <w:rsid w:val="00D86D62"/>
    <w:pPr>
      <w:keepNext/>
      <w:spacing w:before="240" w:after="60"/>
      <w:outlineLvl w:val="1"/>
    </w:pPr>
    <w:rPr>
      <w:rFonts w:ascii="Arial" w:hAnsi="Arial" w:cs="Arial"/>
      <w:b/>
      <w:bCs/>
      <w:i/>
      <w:iCs/>
      <w:sz w:val="28"/>
      <w:szCs w:val="28"/>
    </w:rPr>
  </w:style>
  <w:style w:type="paragraph" w:styleId="3">
    <w:name w:val="heading 3"/>
    <w:basedOn w:val="a"/>
    <w:next w:val="a"/>
    <w:qFormat/>
    <w:rsid w:val="00B92CAB"/>
    <w:pPr>
      <w:keepNext/>
      <w:outlineLvl w:val="2"/>
    </w:pPr>
    <w:rPr>
      <w:rFonts w:eastAsia="Times New Roman"/>
      <w:sz w:val="28"/>
      <w:lang w:eastAsia="ru-RU"/>
    </w:rPr>
  </w:style>
  <w:style w:type="paragraph" w:styleId="4">
    <w:name w:val="heading 4"/>
    <w:basedOn w:val="a"/>
    <w:next w:val="a"/>
    <w:qFormat/>
    <w:rsid w:val="00B92CAB"/>
    <w:pPr>
      <w:keepNext/>
      <w:jc w:val="right"/>
      <w:outlineLvl w:val="3"/>
    </w:pPr>
    <w:rPr>
      <w:rFonts w:eastAsia="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92CAB"/>
    <w:pPr>
      <w:ind w:firstLine="1080"/>
    </w:pPr>
    <w:rPr>
      <w:rFonts w:eastAsia="Times New Roman"/>
      <w:sz w:val="28"/>
      <w:lang w:eastAsia="ru-RU"/>
    </w:rPr>
  </w:style>
  <w:style w:type="paragraph" w:styleId="a4">
    <w:name w:val="Balloon Text"/>
    <w:basedOn w:val="a"/>
    <w:semiHidden/>
    <w:rsid w:val="00B92CAB"/>
    <w:rPr>
      <w:rFonts w:ascii="Tahoma" w:hAnsi="Tahoma" w:cs="Tahoma"/>
      <w:sz w:val="16"/>
      <w:szCs w:val="16"/>
    </w:rPr>
  </w:style>
  <w:style w:type="paragraph" w:styleId="a5">
    <w:name w:val="Block Text"/>
    <w:basedOn w:val="a"/>
    <w:semiHidden/>
    <w:rsid w:val="00A70FA1"/>
    <w:pPr>
      <w:ind w:left="5664" w:right="-669"/>
    </w:pPr>
    <w:rPr>
      <w:rFonts w:eastAsia="Times New Roman"/>
      <w:sz w:val="28"/>
      <w:lang w:eastAsia="ru-RU"/>
    </w:rPr>
  </w:style>
  <w:style w:type="paragraph" w:styleId="a6">
    <w:name w:val="Body Text"/>
    <w:basedOn w:val="a"/>
    <w:rsid w:val="0034195D"/>
    <w:pPr>
      <w:spacing w:after="120"/>
    </w:pPr>
  </w:style>
  <w:style w:type="paragraph" w:styleId="20">
    <w:name w:val="Body Text 2"/>
    <w:basedOn w:val="a"/>
    <w:rsid w:val="0034195D"/>
    <w:pPr>
      <w:spacing w:after="120" w:line="480" w:lineRule="auto"/>
    </w:pPr>
  </w:style>
  <w:style w:type="paragraph" w:customStyle="1" w:styleId="ConsPlusNormal">
    <w:name w:val="ConsPlusNormal"/>
    <w:rsid w:val="00D70D23"/>
    <w:pPr>
      <w:widowControl w:val="0"/>
      <w:autoSpaceDE w:val="0"/>
      <w:autoSpaceDN w:val="0"/>
      <w:adjustRightInd w:val="0"/>
      <w:ind w:firstLine="720"/>
    </w:pPr>
    <w:rPr>
      <w:rFonts w:ascii="Arial" w:hAnsi="Arial" w:cs="Arial"/>
    </w:rPr>
  </w:style>
  <w:style w:type="paragraph" w:styleId="a7">
    <w:name w:val="Normal (Web)"/>
    <w:basedOn w:val="a"/>
    <w:unhideWhenUsed/>
    <w:rsid w:val="00696A07"/>
    <w:pPr>
      <w:spacing w:before="100" w:beforeAutospacing="1" w:after="119"/>
    </w:pPr>
    <w:rPr>
      <w:rFonts w:eastAsia="Times New Roman"/>
      <w:lang w:eastAsia="ru-RU"/>
    </w:rPr>
  </w:style>
  <w:style w:type="paragraph" w:styleId="21">
    <w:name w:val="Body Text Indent 2"/>
    <w:basedOn w:val="a"/>
    <w:rsid w:val="00D86D62"/>
    <w:pPr>
      <w:spacing w:after="120" w:line="480" w:lineRule="auto"/>
      <w:ind w:left="283"/>
    </w:pPr>
  </w:style>
  <w:style w:type="paragraph" w:customStyle="1" w:styleId="ConsPlusTitle">
    <w:name w:val="ConsPlusTitle"/>
    <w:rsid w:val="00D86D62"/>
    <w:pPr>
      <w:widowControl w:val="0"/>
      <w:autoSpaceDE w:val="0"/>
      <w:autoSpaceDN w:val="0"/>
      <w:adjustRightInd w:val="0"/>
    </w:pPr>
    <w:rPr>
      <w:b/>
      <w:bCs/>
      <w:sz w:val="24"/>
      <w:szCs w:val="24"/>
    </w:rPr>
  </w:style>
  <w:style w:type="paragraph" w:styleId="a8">
    <w:name w:val="No Spacing"/>
    <w:qFormat/>
    <w:rsid w:val="00D86D62"/>
    <w:pPr>
      <w:suppressAutoHyphens/>
    </w:pPr>
    <w:rPr>
      <w:rFonts w:ascii="Calibri" w:eastAsia="Calibri" w:hAnsi="Calibri" w:cs="Calibri"/>
      <w:sz w:val="22"/>
      <w:szCs w:val="22"/>
      <w:lang w:eastAsia="ar-SA"/>
    </w:rPr>
  </w:style>
  <w:style w:type="table" w:styleId="a9">
    <w:name w:val="Table Grid"/>
    <w:basedOn w:val="a1"/>
    <w:rsid w:val="002424BD"/>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1E3C18"/>
    <w:pPr>
      <w:tabs>
        <w:tab w:val="center" w:pos="4153"/>
        <w:tab w:val="right" w:pos="8306"/>
      </w:tabs>
      <w:suppressAutoHyphens/>
    </w:pPr>
    <w:rPr>
      <w:rFonts w:eastAsia="Times New Roman"/>
      <w:sz w:val="20"/>
      <w:szCs w:val="20"/>
      <w:lang w:eastAsia="ar-SA"/>
    </w:rPr>
  </w:style>
  <w:style w:type="paragraph" w:customStyle="1" w:styleId="31">
    <w:name w:val="Основной текст 31"/>
    <w:basedOn w:val="a"/>
    <w:rsid w:val="004B4755"/>
    <w:pPr>
      <w:suppressAutoHyphens/>
      <w:jc w:val="both"/>
    </w:pPr>
    <w:rPr>
      <w:lang w:eastAsia="ar-SA"/>
    </w:rPr>
  </w:style>
  <w:style w:type="table" w:styleId="-1">
    <w:name w:val="Table Web 1"/>
    <w:basedOn w:val="a1"/>
    <w:rsid w:val="00E94CD2"/>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b">
    <w:name w:val="List Paragraph"/>
    <w:basedOn w:val="a"/>
    <w:uiPriority w:val="34"/>
    <w:qFormat/>
    <w:rsid w:val="00FE44BF"/>
    <w:pPr>
      <w:ind w:left="720"/>
      <w:contextualSpacing/>
    </w:pPr>
  </w:style>
  <w:style w:type="character" w:styleId="ac">
    <w:name w:val="Hyperlink"/>
    <w:basedOn w:val="a0"/>
    <w:rsid w:val="0048682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19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26E29A609893A8DBAEFC4C0CC610230184849A2FD8F89EDA604CF69DEBF24B51EEA50B797BE2x8B9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3606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УДМУРТ ЭЛЬКУНЫСЬ ТРАНСПОРТЪЯ НО СЮРЕС ВОЗЁСЪЯ МИНИСТЕРСТВО</vt:lpstr>
    </vt:vector>
  </TitlesOfParts>
  <Company>MoBIL GROUP</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УДМУРТ ЭЛЬКУНЫСЬ ТРАНСПОРТЪЯ НО СЮРЕС ВОЗЁСЪЯ МИНИСТЕРСТВО</dc:title>
  <dc:creator>secretar</dc:creator>
  <cp:lastModifiedBy>kuznecov</cp:lastModifiedBy>
  <cp:revision>2</cp:revision>
  <cp:lastPrinted>2013-06-21T10:16:00Z</cp:lastPrinted>
  <dcterms:created xsi:type="dcterms:W3CDTF">2015-11-13T11:22:00Z</dcterms:created>
  <dcterms:modified xsi:type="dcterms:W3CDTF">2015-11-13T11:22:00Z</dcterms:modified>
</cp:coreProperties>
</file>