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right"/>
        <w:outlineLvl w:val="0"/>
      </w:pPr>
      <w:r>
        <w:rPr>
          <w:sz w:val="24"/>
        </w:rPr>
        <w:t xml:space="preserve">Приложение 10</w:t>
      </w:r>
      <w:r/>
    </w:p>
    <w:p>
      <w:pPr>
        <w:pStyle w:val="616"/>
        <w:jc w:val="right"/>
      </w:pPr>
      <w:r>
        <w:rPr>
          <w:sz w:val="24"/>
        </w:rPr>
        <w:t xml:space="preserve">к Закону</w:t>
      </w:r>
      <w:r/>
    </w:p>
    <w:p>
      <w:pPr>
        <w:pStyle w:val="616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616"/>
        <w:jc w:val="right"/>
      </w:pPr>
      <w:r>
        <w:rPr>
          <w:sz w:val="24"/>
        </w:rPr>
        <w:t xml:space="preserve">"О бюджете</w:t>
      </w:r>
      <w:r/>
    </w:p>
    <w:p>
      <w:pPr>
        <w:pStyle w:val="616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616"/>
        <w:jc w:val="right"/>
      </w:pPr>
      <w:r>
        <w:rPr>
          <w:sz w:val="24"/>
        </w:rPr>
        <w:t xml:space="preserve">на 2026 год и на плановый</w:t>
      </w:r>
      <w:r/>
    </w:p>
    <w:p>
      <w:pPr>
        <w:pStyle w:val="616"/>
        <w:jc w:val="right"/>
      </w:pPr>
      <w:r>
        <w:rPr>
          <w:sz w:val="24"/>
        </w:rPr>
        <w:t xml:space="preserve">период 2027 и 2028 годов"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РАСПРЕДЕЛЕНИЕ</w:t>
      </w:r>
      <w:r/>
    </w:p>
    <w:p>
      <w:pPr>
        <w:pStyle w:val="618"/>
        <w:jc w:val="center"/>
      </w:pPr>
      <w:r>
        <w:rPr>
          <w:sz w:val="24"/>
        </w:rPr>
        <w:t xml:space="preserve">БЮДЖЕТНЫХ АССИГНОВАНИЙ ДОРОЖНОГО ФОНДА УДМУРТСКОЙ РЕСПУБЛИКИ</w:t>
      </w:r>
      <w:r/>
    </w:p>
    <w:p>
      <w:pPr>
        <w:pStyle w:val="618"/>
        <w:jc w:val="center"/>
      </w:pPr>
      <w:r>
        <w:rPr>
          <w:sz w:val="24"/>
        </w:rPr>
        <w:t xml:space="preserve">НА 2026 ГОД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616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Закона</w:t>
            </w:r>
            <w:r>
              <w:rPr>
                <w:color w:val="392c69"/>
                <w:sz w:val="24"/>
              </w:rPr>
              <w:t xml:space="preserve"> УР от 24.02.2026 N 8-РЗ)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5"/>
        <w:gridCol w:w="6293"/>
        <w:gridCol w:w="2154"/>
      </w:tblGrid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Сумма, рублей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Государственная </w:t>
            </w:r>
            <w:r>
              <w:rPr>
                <w:sz w:val="24"/>
              </w:rPr>
              <w:t xml:space="preserve">программа</w:t>
            </w:r>
            <w:r>
              <w:rPr>
                <w:sz w:val="24"/>
              </w:rPr>
              <w:t xml:space="preserve"> Удмуртской Республики "Развитие транспортной системы Удмуртской Республики"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15975508334,19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Осуществление дорожной деятельности в отношении автомобильных дорог общего пользования регионального, межмуниципального, местного значения Удмуртской Республики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7251796267,82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1.2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из бюджета Удмуртской Республики на возмещение затрат юридическим лицам, заключившим концессионное соглашение с Удмуртской Республикой, предусматривающее строительство и эксплуатацию на платной основе мостовых переходов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207628843,85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1.3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Содержание учреждений, осуществляющих управление автомобильными дорогами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299516022,08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1.4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Уплата земельного налога и налога на имущество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252124,00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1.5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Финансовое обеспечение дорожной деятельности в рамках реализации национального проекта "Инфраструктура для жизни"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8216315076,44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Государственная </w:t>
            </w:r>
            <w:r>
              <w:rPr>
                <w:sz w:val="24"/>
              </w:rPr>
              <w:t xml:space="preserve">программа</w:t>
            </w:r>
            <w:r>
              <w:rPr>
                <w:sz w:val="24"/>
              </w:rPr>
              <w:t xml:space="preserve"> Удмуртской Республики "Комплексное развитие сельских территорий"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836551660,00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Иные расходы, связанные с дорожной деятельностью и управлением дорожным хозяйством Удмуртской Республики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555207495,21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tcW w:w="60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629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Обслуживание и погашение долговых обязательств, связанных с использованием бюджетных кредитов, полученных из федерального бюджета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21261877,13</w:t>
            </w:r>
            <w:r/>
          </w:p>
        </w:tc>
      </w:tr>
      <w:tr>
        <w:tblPrEx>
          <w:tblBorders>
            <w:left w:val="single" w:color="000000" w:sz="4" w:space="0"/>
            <w:right w:val="single" w:color="000000" w:sz="4" w:space="0"/>
          </w:tblBorders>
        </w:tblPrEx>
        <w:trPr/>
        <w:tc>
          <w:tcPr>
            <w:gridSpan w:val="2"/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17388529366,53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&lt;*&gt; Справочно: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неиспользованные бюджетные ассигнования по состоянию на 1 января 2026 года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1512721449,61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доходы от уплаты ак</w:t>
            </w:r>
            <w:r>
              <w:rPr>
                <w:sz w:val="24"/>
              </w:rPr>
              <w:t xml:space="preserve">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бюджет субъекта Российской Федерации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7669621300,00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транспортный налог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1979258000,00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денежные взыскания (штрафы) за нарушение законодательства Российской Федерации о безопасности дорожного движения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781307000,00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штрафы за нарушение правил движения тяжеловесного и (или) крупногабаритного транспортного средства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120000000,00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</w:t>
            </w:r>
            <w:r>
              <w:rPr>
                <w:sz w:val="24"/>
              </w:rPr>
              <w:t xml:space="preserve">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91493,00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доходы от эксплуатации и использования имущества автомобильных дорог, находящихся в собственности субъектов Российской Федерации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1000,00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поступления сумм в возмещение ущерба </w:t>
            </w:r>
            <w:r>
              <w:rPr>
                <w:sz w:val="24"/>
              </w:rPr>
              <w:t xml:space="preserve">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8467467,00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платежи, уплачиваемые в целях возмещения вреда, причиняемого автомобильным дорогам регионального или межмуниципального значения тяжеловесными транспортными средствами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127363358,00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доходы, поступающие в порядке возмещения расходов, понесенных в связи с эксплуатацией имущества Удмуртской Республики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508023,00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4319370200,00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48885200,00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субсидии бюджетам субъектов Российской Федерации на развитие транспортной инфраструктуры на сельских территориях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588788700,00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значения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232146175,92</w:t>
            </w:r>
            <w:r/>
          </w:p>
        </w:tc>
      </w:tr>
      <w:tr>
        <w:tblPrEx>
          <w:tblBorders>
            <w:insideH w:val="none" w:color="000000" w:sz="4" w:space="0"/>
            <w:insideV w:val="non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17388529366,53</w:t>
            </w:r>
            <w:r/>
          </w:p>
        </w:tc>
      </w:tr>
    </w:tbl>
    <w:p>
      <w:pPr>
        <w:pStyle w:val="616"/>
      </w:pPr>
      <w:r>
        <w:rPr>
          <w:i/>
          <w:sz w:val="24"/>
        </w:rPr>
        <w:br/>
        <w:t xml:space="preserve">Закон УР от 19.12.2025 N 77-РЗ (ред. от 24.02.2026) "О бюджете Удмуртской Республики на 2026 год и на плановый период 2027 и 2028 годов" (принят Государственным Советом УР 09.12.2025) {КонсультантПлюс}</w:t>
      </w:r>
      <w:r>
        <w:rPr>
          <w:sz w:val="24"/>
        </w:rPr>
        <w:br/>
      </w:r>
      <w:r/>
    </w:p>
    <w:sectPr>
      <w:footnotePr/>
      <w:endnotePr/>
      <w:type w:val="nextPage"/>
      <w:pgSz w:w="11906" w:h="16838" w:orient="portrait"/>
      <w:pgMar w:top="59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62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2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1434" w:default="1">
    <w:name w:val="Default Paragraph Font"/>
    <w:uiPriority w:val="1"/>
    <w:semiHidden/>
    <w:unhideWhenUsed/>
  </w:style>
  <w:style w:type="numbering" w:styleId="1435" w:default="1">
    <w:name w:val="No List"/>
    <w:uiPriority w:val="99"/>
    <w:semiHidden/>
    <w:unhideWhenUsed/>
  </w:style>
  <w:style w:type="table" w:styleId="14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УР от 19.12.2025 N 77-РЗ
(ред. от 24.02.2026)
"О бюджете Удмуртской Республики на 2026 год и на плановый период 2027 и 2028 годов"
(принят Государственным Советом УР 09.12.2025)</dc:title>
  <cp:revision>1</cp:revision>
  <dcterms:created xsi:type="dcterms:W3CDTF">2026-05-21T06:27:32Z</dcterms:created>
  <dcterms:modified xsi:type="dcterms:W3CDTF">2026-05-21T06:27:50Z</dcterms:modified>
</cp:coreProperties>
</file>