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right="-1"/>
        <w:jc w:val="center"/>
        <w:spacing w:before="0" w:after="0" w:line="240" w:lineRule="auto"/>
        <w:rPr>
          <w:color w:val="000000"/>
        </w:rPr>
      </w:pPr>
      <w:r/>
      <w:bookmarkStart w:id="0" w:name="_GoBack"/>
      <w:r/>
      <w:bookmarkEnd w:id="0"/>
      <w:r>
        <w:rPr>
          <w:rFonts w:cs="Times New Roman"/>
          <w:b/>
          <w:color w:val="000000"/>
          <w:szCs w:val="26"/>
        </w:rPr>
        <w:t xml:space="preserve">Информация </w:t>
      </w:r>
      <w:r>
        <w:rPr>
          <w:color w:val="000000"/>
        </w:rPr>
      </w:r>
    </w:p>
    <w:p>
      <w:pPr>
        <w:pStyle w:val="617"/>
        <w:ind w:right="-1"/>
        <w:jc w:val="center"/>
        <w:spacing w:before="0" w:after="0" w:line="240" w:lineRule="auto"/>
        <w:rPr>
          <w:color w:val="000000"/>
        </w:rPr>
      </w:pPr>
      <w:r>
        <w:rPr>
          <w:rFonts w:cs="Times New Roman"/>
          <w:b/>
          <w:color w:val="000000"/>
          <w:szCs w:val="26"/>
        </w:rPr>
        <w:t xml:space="preserve">о работе с обращениями граждан и организаций </w:t>
      </w:r>
      <w:r>
        <w:rPr>
          <w:color w:val="000000"/>
        </w:rPr>
      </w:r>
    </w:p>
    <w:p>
      <w:pPr>
        <w:pStyle w:val="617"/>
        <w:ind w:right="-1"/>
        <w:jc w:val="center"/>
        <w:spacing w:before="0" w:after="0" w:line="240" w:lineRule="auto"/>
        <w:rPr>
          <w:color w:val="000000"/>
        </w:rPr>
      </w:pPr>
      <w:r>
        <w:rPr>
          <w:rFonts w:cs="Times New Roman"/>
          <w:b/>
          <w:color w:val="000000"/>
          <w:szCs w:val="26"/>
        </w:rPr>
        <w:t xml:space="preserve">в Министерстве транспорта и дорожного хозяйства Удмуртской Республики </w:t>
      </w:r>
      <w:r>
        <w:rPr>
          <w:color w:val="000000"/>
        </w:rPr>
      </w:r>
    </w:p>
    <w:p>
      <w:pPr>
        <w:pStyle w:val="617"/>
        <w:ind w:right="-1"/>
        <w:jc w:val="center"/>
        <w:spacing w:before="0" w:after="0" w:line="240" w:lineRule="auto"/>
        <w:rPr>
          <w:color w:val="000000"/>
        </w:rPr>
      </w:pPr>
      <w:r>
        <w:rPr>
          <w:rFonts w:cs="Times New Roman"/>
          <w:b/>
          <w:color w:val="000000"/>
          <w:szCs w:val="26"/>
        </w:rPr>
        <w:t xml:space="preserve">в 2025 году</w:t>
      </w:r>
      <w:r>
        <w:rPr>
          <w:color w:val="000000"/>
        </w:rPr>
      </w:r>
    </w:p>
    <w:p>
      <w:pPr>
        <w:pStyle w:val="617"/>
        <w:ind w:right="-1"/>
        <w:jc w:val="center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ind w:right="-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ind w:right="-1" w:firstLine="851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В 2025 году в Министерство транспорта и дорожного хозяйства Удмуртской Республики (далее - Миндортранс УР) поступило, </w:t>
      </w:r>
      <w:r>
        <w:rPr>
          <w:rFonts w:cs="Times New Roman"/>
          <w:color w:val="000000"/>
          <w:szCs w:val="26"/>
          <w:u w:val="single"/>
        </w:rPr>
        <w:t xml:space="preserve">зарегистрировано</w:t>
      </w:r>
      <w:r>
        <w:rPr>
          <w:rFonts w:cs="Times New Roman"/>
          <w:color w:val="000000"/>
          <w:szCs w:val="26"/>
        </w:rPr>
        <w:t xml:space="preserve"> в СЭД «Директум» и рассмотрено </w:t>
      </w:r>
      <w:r>
        <w:rPr>
          <w:rFonts w:cs="Times New Roman"/>
          <w:b/>
          <w:bCs/>
          <w:color w:val="000000"/>
          <w:szCs w:val="26"/>
        </w:rPr>
        <w:t xml:space="preserve">1040</w:t>
      </w:r>
      <w:r>
        <w:rPr>
          <w:rFonts w:cs="Times New Roman"/>
          <w:color w:val="000000"/>
          <w:szCs w:val="26"/>
        </w:rPr>
        <w:t xml:space="preserve"> письменных обращения граждан. По сравнению с 2024 годом количество обращений уменьшилось на 6 % (в 2024 году поступило 1140 обращений).</w:t>
      </w:r>
      <w:r>
        <w:rPr>
          <w:color w:val="000000"/>
        </w:rPr>
      </w:r>
    </w:p>
    <w:p>
      <w:pPr>
        <w:pStyle w:val="617"/>
        <w:ind w:right="-1" w:firstLine="85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color w:val="000000"/>
        </w:rPr>
      </w:pPr>
      <w:r>
        <w:rPr>
          <w:color w:val="000000"/>
        </w:rPr>
        <w:t xml:space="preserve">Письменные обращения рассматриваются в соответствии с Федеральным законом от 02.05.2006 №59-ФЗ «О порядке рассмотрения обращений граждан». На все обращения направлены ответы в установленные законодательством сроки. </w:t>
      </w:r>
      <w:r>
        <w:rPr>
          <w:color w:val="000000"/>
        </w:rPr>
      </w:r>
    </w:p>
    <w:p>
      <w:pPr>
        <w:pStyle w:val="617"/>
        <w:ind w:right="-1" w:firstLine="85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81"/>
        <w:contextualSpacing/>
        <w:ind w:left="0" w:firstLine="851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Из общего количества письменных обращений за указанный период поступило:</w:t>
      </w:r>
      <w:r>
        <w:rPr>
          <w:color w:val="000000"/>
        </w:rPr>
      </w:r>
    </w:p>
    <w:p>
      <w:pPr>
        <w:pStyle w:val="681"/>
        <w:contextualSpacing/>
        <w:ind w:left="0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- 454 обращения через Администрацию Главы и Правительства УР (44 %);</w:t>
      </w:r>
      <w:r>
        <w:rPr>
          <w:color w:val="000000"/>
        </w:rPr>
      </w:r>
    </w:p>
    <w:p>
      <w:pPr>
        <w:pStyle w:val="681"/>
        <w:contextualSpacing/>
        <w:ind w:left="0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- 316  обращений напрямую от граждан (30 % от общего количества обращений);</w:t>
      </w:r>
      <w:r>
        <w:rPr>
          <w:color w:val="000000"/>
        </w:rPr>
      </w:r>
    </w:p>
    <w:p>
      <w:pPr>
        <w:pStyle w:val="681"/>
        <w:contextualSpacing/>
        <w:ind w:left="0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- 270 обращений – из других организаций (26 %).</w:t>
      </w:r>
      <w:r>
        <w:rPr>
          <w:color w:val="000000"/>
        </w:rPr>
      </w:r>
    </w:p>
    <w:p>
      <w:pPr>
        <w:pStyle w:val="617"/>
        <w:jc w:val="both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По </w:t>
      </w:r>
      <w:r>
        <w:rPr>
          <w:rFonts w:cs="Times New Roman"/>
          <w:b/>
          <w:color w:val="000000"/>
          <w:szCs w:val="26"/>
        </w:rPr>
        <w:t xml:space="preserve">способу получения</w:t>
      </w:r>
      <w:r>
        <w:rPr>
          <w:rFonts w:cs="Times New Roman"/>
          <w:color w:val="000000"/>
          <w:szCs w:val="26"/>
        </w:rPr>
        <w:t xml:space="preserve"> обращений можно распределить:</w:t>
      </w:r>
      <w:r>
        <w:rPr>
          <w:color w:val="000000"/>
          <w:szCs w:val="26"/>
        </w:rPr>
        <w:t xml:space="preserve"> 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color w:val="000000"/>
          <w:szCs w:val="26"/>
        </w:rPr>
      </w:pPr>
      <w:r>
        <w:rPr>
          <w:color w:val="000000"/>
          <w:szCs w:val="26"/>
        </w:rPr>
      </w:r>
      <w:r>
        <w:rPr>
          <w:color w:val="000000"/>
          <w:szCs w:val="26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1. По электронным каналам связи – 37</w:t>
      </w:r>
      <w:r>
        <w:rPr>
          <w:rFonts w:cs="Times New Roman"/>
          <w:color w:val="000000"/>
          <w:szCs w:val="26"/>
          <w:shd w:val="clear" w:color="auto" w:fill="auto"/>
        </w:rPr>
        <w:t xml:space="preserve">5 обращений (36 %)</w:t>
      </w:r>
      <w:r>
        <w:rPr>
          <w:rFonts w:cs="Times New Roman"/>
          <w:color w:val="000000"/>
          <w:szCs w:val="26"/>
        </w:rPr>
        <w:t xml:space="preserve">, из них:</w:t>
      </w:r>
      <w:r>
        <w:rPr>
          <w:color w:val="000000"/>
        </w:rPr>
      </w:r>
    </w:p>
    <w:p>
      <w:pPr>
        <w:pStyle w:val="617"/>
        <w:ind w:firstLine="1276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-     интернет-приемная - 236 обращений (</w:t>
      </w:r>
      <w:r>
        <w:rPr>
          <w:rFonts w:cs="Times New Roman"/>
          <w:color w:val="000000"/>
          <w:szCs w:val="26"/>
          <w:shd w:val="clear" w:color="auto" w:fill="auto"/>
        </w:rPr>
        <w:t xml:space="preserve">21 </w:t>
      </w:r>
      <w:r>
        <w:rPr>
          <w:rFonts w:cs="Times New Roman"/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ind w:firstLine="1276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-    электронная почта - 94 обращения (9</w:t>
      </w:r>
      <w:r>
        <w:rPr>
          <w:rFonts w:cs="Times New Roman"/>
          <w:color w:val="000000"/>
          <w:szCs w:val="26"/>
          <w:shd w:val="clear" w:color="auto" w:fill="auto"/>
        </w:rPr>
        <w:t xml:space="preserve"> %)</w:t>
      </w:r>
      <w:r>
        <w:rPr>
          <w:rFonts w:cs="Times New Roman"/>
          <w:color w:val="000000"/>
          <w:szCs w:val="26"/>
        </w:rPr>
        <w:t xml:space="preserve">;</w:t>
      </w:r>
      <w:r>
        <w:rPr>
          <w:color w:val="000000"/>
        </w:rPr>
      </w:r>
    </w:p>
    <w:p>
      <w:pPr>
        <w:pStyle w:val="617"/>
        <w:ind w:firstLine="1276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-    МЭДО - 45 обращений </w:t>
      </w:r>
      <w:r>
        <w:rPr>
          <w:rFonts w:cs="Times New Roman"/>
          <w:color w:val="000000"/>
          <w:szCs w:val="26"/>
          <w:shd w:val="clear" w:color="auto" w:fill="auto"/>
        </w:rPr>
        <w:t xml:space="preserve">(4 %).</w:t>
      </w:r>
      <w:r>
        <w:rPr>
          <w:color w:val="000000"/>
        </w:rPr>
      </w:r>
    </w:p>
    <w:p>
      <w:pPr>
        <w:pStyle w:val="617"/>
        <w:ind w:firstLine="1276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2. В письменной форме – </w:t>
      </w:r>
      <w:r>
        <w:rPr>
          <w:rFonts w:cs="Times New Roman"/>
          <w:color w:val="000000"/>
          <w:szCs w:val="26"/>
          <w:shd w:val="clear" w:color="auto" w:fill="auto"/>
        </w:rPr>
        <w:t xml:space="preserve">665</w:t>
      </w:r>
      <w:r>
        <w:rPr>
          <w:rFonts w:cs="Times New Roman"/>
          <w:color w:val="000000"/>
          <w:szCs w:val="26"/>
          <w:shd w:val="clear" w:color="auto" w:fill="auto"/>
        </w:rPr>
        <w:t xml:space="preserve"> </w:t>
      </w:r>
      <w:r>
        <w:rPr>
          <w:rFonts w:cs="Times New Roman"/>
          <w:color w:val="000000"/>
          <w:szCs w:val="26"/>
        </w:rPr>
        <w:t xml:space="preserve">обращений (</w:t>
      </w:r>
      <w:r>
        <w:rPr>
          <w:rFonts w:cs="Times New Roman"/>
          <w:color w:val="000000"/>
          <w:szCs w:val="26"/>
        </w:rPr>
        <w:t xml:space="preserve">63</w:t>
      </w:r>
      <w:r>
        <w:rPr>
          <w:rFonts w:cs="Times New Roman"/>
          <w:color w:val="000000"/>
          <w:szCs w:val="26"/>
        </w:rPr>
        <w:t xml:space="preserve"> %).</w:t>
      </w:r>
      <w:r>
        <w:rPr>
          <w:color w:val="000000"/>
        </w:rPr>
      </w:r>
    </w:p>
    <w:p>
      <w:pPr>
        <w:pStyle w:val="617"/>
        <w:ind w:right="-1" w:firstLine="85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rFonts w:cs="Times New Roman"/>
          <w:b/>
          <w:color w:val="000000"/>
          <w:szCs w:val="26"/>
        </w:rPr>
        <w:t xml:space="preserve">По тематике обращений</w:t>
      </w:r>
      <w:r>
        <w:rPr>
          <w:rFonts w:cs="Times New Roman"/>
          <w:color w:val="000000"/>
          <w:szCs w:val="26"/>
        </w:rPr>
        <w:t xml:space="preserve"> вопросы распределяются следующим образом: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Раздел «Экономика» - 987 обращений </w:t>
      </w:r>
      <w:r>
        <w:rPr>
          <w:color w:val="000000"/>
          <w:szCs w:val="26"/>
          <w:shd w:val="clear" w:color="auto" w:fill="auto"/>
        </w:rPr>
        <w:t xml:space="preserve">(95,0 </w:t>
      </w:r>
      <w:r>
        <w:rPr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Раздел «Государство, общество, политика» - 22 обращения (2</w:t>
      </w:r>
      <w:r>
        <w:rPr>
          <w:color w:val="000000"/>
          <w:szCs w:val="26"/>
          <w:shd w:val="clear" w:color="auto" w:fill="auto"/>
        </w:rPr>
        <w:t xml:space="preserve">,0 </w:t>
      </w:r>
      <w:r>
        <w:rPr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Раздел «Социальная сфера» - 14 обращений (</w:t>
      </w:r>
      <w:r>
        <w:rPr>
          <w:color w:val="000000"/>
          <w:szCs w:val="26"/>
          <w:shd w:val="clear" w:color="auto" w:fill="auto"/>
        </w:rPr>
        <w:t xml:space="preserve">1,0 </w:t>
      </w:r>
      <w:r>
        <w:rPr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Раздел «Жилищно-коммунальная сфера» - 5 обращений (0</w:t>
      </w:r>
      <w:r>
        <w:rPr>
          <w:color w:val="000000"/>
          <w:szCs w:val="26"/>
          <w:shd w:val="clear" w:color="auto" w:fill="auto"/>
        </w:rPr>
        <w:t xml:space="preserve">,5 </w:t>
      </w:r>
      <w:r>
        <w:rPr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Раздел «Оборона, безопасность, законность» - 1 обращение (</w:t>
      </w:r>
      <w:r>
        <w:rPr>
          <w:color w:val="000000"/>
          <w:szCs w:val="26"/>
          <w:shd w:val="clear" w:color="auto" w:fill="auto"/>
        </w:rPr>
        <w:t xml:space="preserve">0,01 </w:t>
      </w:r>
      <w:r>
        <w:rPr>
          <w:color w:val="000000"/>
          <w:szCs w:val="26"/>
        </w:rPr>
        <w:t xml:space="preserve">%);</w:t>
      </w:r>
      <w:r>
        <w:rPr>
          <w:color w:val="000000"/>
        </w:rPr>
      </w:r>
    </w:p>
    <w:p>
      <w:pPr>
        <w:pStyle w:val="617"/>
        <w:spacing w:before="0" w:after="0"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Некоторые обращения содержат вопросы из разных разделов классификатора.</w:t>
      </w:r>
      <w:r>
        <w:rPr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Наиболее проблемные темы, содержащиеся в обращениях граждан:</w:t>
      </w:r>
      <w:r>
        <w:rPr>
          <w:color w:val="000000"/>
        </w:rPr>
      </w:r>
    </w:p>
    <w:p>
      <w:pPr>
        <w:pStyle w:val="617"/>
        <w:ind w:left="737" w:right="0" w:firstLine="0"/>
        <w:jc w:val="both"/>
        <w:spacing w:before="0" w:beforeAutospacing="0" w:after="0" w:afterAutospacing="0" w:line="240" w:lineRule="auto"/>
        <w:widowControl/>
        <w:rPr>
          <w:color w:val="000000"/>
        </w:rPr>
      </w:pPr>
      <w:r>
        <w:rPr>
          <w:color w:val="000000"/>
          <w:szCs w:val="26"/>
        </w:rPr>
        <w:t xml:space="preserve">- междугородные и пригородные перевозки пассажиров, особенно в период смены компании-перевозчика пригородных маршрутов с 10.12.2025 г. </w:t>
      </w:r>
      <w:r>
        <w:rPr>
          <w:color w:val="000000"/>
        </w:rPr>
      </w:r>
    </w:p>
    <w:p>
      <w:pPr>
        <w:pStyle w:val="617"/>
        <w:ind w:firstLine="708"/>
        <w:jc w:val="both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- эксплуатация и сохранность автомобильных дорог;</w:t>
      </w:r>
      <w:r>
        <w:rPr>
          <w:color w:val="000000"/>
        </w:rPr>
      </w:r>
    </w:p>
    <w:p>
      <w:pPr>
        <w:pStyle w:val="617"/>
        <w:ind w:firstLine="708"/>
        <w:jc w:val="both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- благоустройство и ремонт подъездных дорог;</w:t>
      </w:r>
      <w:r>
        <w:rPr>
          <w:color w:val="000000"/>
        </w:rPr>
      </w:r>
    </w:p>
    <w:p>
      <w:pPr>
        <w:pStyle w:val="617"/>
        <w:ind w:left="0" w:firstLine="708"/>
        <w:jc w:val="both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- борьба с аварийностью и безопасность дорожного движения;</w:t>
      </w:r>
      <w:r>
        <w:rPr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</w:rPr>
      </w:pPr>
      <w:r>
        <w:rPr>
          <w:color w:val="000000"/>
          <w:szCs w:val="26"/>
        </w:rPr>
        <w:t xml:space="preserve">          </w:t>
      </w:r>
      <w:r>
        <w:rPr>
          <w:color w:val="000000"/>
          <w:szCs w:val="26"/>
        </w:rPr>
        <w:t xml:space="preserve">- проезд льготных категорий граждан.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ind w:firstLine="851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По </w:t>
      </w:r>
      <w:r>
        <w:rPr>
          <w:rFonts w:cs="Times New Roman"/>
          <w:b/>
          <w:color w:val="000000"/>
          <w:szCs w:val="26"/>
        </w:rPr>
        <w:t xml:space="preserve">результатам рассмотрения</w:t>
      </w:r>
      <w:r>
        <w:rPr>
          <w:rFonts w:cs="Times New Roman"/>
          <w:color w:val="000000"/>
          <w:szCs w:val="26"/>
        </w:rPr>
        <w:t xml:space="preserve"> письменных обращений, взятых на контроль</w:t>
      </w:r>
      <w:r>
        <w:rPr>
          <w:rFonts w:ascii="Cambria Math" w:hAnsi="Cambria Math" w:cs="Times New Roman"/>
          <w:color w:val="000000"/>
          <w:szCs w:val="26"/>
        </w:rPr>
        <w:t xml:space="preserve">:</w:t>
      </w:r>
      <w:r>
        <w:rPr>
          <w:color w:val="000000"/>
        </w:rPr>
      </w:r>
    </w:p>
    <w:p>
      <w:pPr>
        <w:pStyle w:val="682"/>
        <w:ind w:firstLine="851"/>
        <w:jc w:val="both"/>
        <w:widowControl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- решено положительно и разъяснено - 569 обращений </w:t>
        <w:br/>
        <w:t xml:space="preserve">(55 %);</w:t>
      </w:r>
      <w:r>
        <w:rPr>
          <w:color w:val="000000"/>
        </w:rPr>
      </w:r>
    </w:p>
    <w:p>
      <w:pPr>
        <w:pStyle w:val="682"/>
        <w:ind w:firstLine="851"/>
        <w:jc w:val="both"/>
        <w:widowControl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- 407 обращений перенаправлены по компетенции (39 %);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-  остальны</w:t>
      </w:r>
      <w:r>
        <w:rPr>
          <w:rFonts w:cs="Times New Roman"/>
          <w:color w:val="000000"/>
          <w:szCs w:val="26"/>
        </w:rPr>
        <w:t xml:space="preserve">е </w:t>
      </w:r>
      <w:r>
        <w:rPr>
          <w:rFonts w:cs="Times New Roman"/>
          <w:color w:val="000000"/>
          <w:szCs w:val="26"/>
        </w:rPr>
        <w:t xml:space="preserve">обращения - </w:t>
      </w:r>
      <w:r>
        <w:rPr>
          <w:rFonts w:cs="Times New Roman"/>
          <w:color w:val="000000"/>
          <w:szCs w:val="26"/>
        </w:rPr>
        <w:t xml:space="preserve">приняты меры</w:t>
      </w:r>
      <w:r>
        <w:rPr>
          <w:rFonts w:cs="Times New Roman"/>
          <w:color w:val="000000"/>
          <w:szCs w:val="26"/>
        </w:rPr>
        <w:t xml:space="preserve">.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Перенаправляются обращения, как правило, касающиеся дорожной тематики. </w:t>
      </w:r>
      <w:r>
        <w:rPr>
          <w:rFonts w:cs="Times New Roman"/>
          <w:color w:val="000000"/>
          <w:szCs w:val="26"/>
        </w:rPr>
        <w:t xml:space="preserve">Такие обращения направляются балансодержателям дорог с обязательным уведомлением заявителя (согласно ч. 3 ст. 8 59-ФЗ). Обращения на тему транспортного обслуживания населения также могут быть перенаправлены, если они касаются внутримуниципальных маршрутов.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ind w:firstLine="708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Граждане обращаются не только по вопросам личного характера, но и по вопросам общественных интересов. Так, в 2025 году в Миндортранс УР поступило 27 коллективных обращений в отношении вопросов строительства, </w:t>
      </w:r>
      <w:r>
        <w:rPr>
          <w:color w:val="000000"/>
          <w:szCs w:val="26"/>
        </w:rPr>
        <w:t xml:space="preserve">эксплуатации и сохранности автомобильных дорог, а также транспортного обслуживания населения, что на 17 обращений меньше, чем в 2024 году (44).</w:t>
      </w:r>
      <w:r>
        <w:rPr>
          <w:color w:val="000000"/>
        </w:rPr>
      </w:r>
    </w:p>
    <w:p>
      <w:pPr>
        <w:pStyle w:val="617"/>
        <w:ind w:firstLine="851"/>
        <w:jc w:val="both"/>
        <w:spacing w:before="0" w:after="0" w:line="240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</w:r>
      <w:r>
        <w:rPr>
          <w:rFonts w:cs="Times New Roman"/>
          <w:color w:val="000000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color w:val="000000"/>
        </w:rPr>
      </w:pPr>
      <w:r>
        <w:rPr>
          <w:rFonts w:cs="Times New Roman"/>
          <w:color w:val="000000"/>
          <w:szCs w:val="26"/>
        </w:rPr>
        <w:t xml:space="preserve">Н</w:t>
      </w:r>
      <w:r>
        <w:rPr>
          <w:rFonts w:cs="Times New Roman"/>
          <w:color w:val="000000"/>
          <w:szCs w:val="26"/>
        </w:rPr>
        <w:t xml:space="preserve">а личном приеме в 2025 году министром принято 12 человек. По всем вопросам в ходе личного приема гражданам даны разъяснения. По проблемам, требующим дополнительного изучения, приняты письменные заявления, которые направлены для рассмотрения по компетенции.</w:t>
      </w:r>
      <w:r>
        <w:rPr>
          <w:color w:val="000000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ind w:firstLine="0"/>
        <w:jc w:val="both"/>
        <w:spacing w:before="0"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617"/>
        <w:jc w:val="both"/>
        <w:spacing w:before="0" w:after="0" w:line="240" w:lineRule="auto"/>
        <w:rPr>
          <w:color w:val="000000"/>
          <w:szCs w:val="26"/>
        </w:rPr>
      </w:pPr>
      <w:r>
        <w:rPr>
          <w:color w:val="000000"/>
          <w:szCs w:val="26"/>
        </w:rPr>
      </w:r>
      <w:r>
        <w:rPr>
          <w:color w:val="000000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38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ahoma">
    <w:panose1 w:val="020B0604030504040204"/>
  </w:font>
  <w:font w:name="Lohit Devanagari">
    <w:panose1 w:val="020B0600000000000000"/>
  </w:font>
  <w:font w:name="Open Sans">
    <w:panose1 w:val="020B0606030504020204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Times New Roman" w:hAnsi="Times New Roman" w:eastAsia="Calibri" w:cs="Arial" w:eastAsiaTheme="minorHAnsi" w:cstheme="minorBidi"/>
      <w:color w:val="auto"/>
      <w:sz w:val="26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50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50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50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5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5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50"/>
    <w:uiPriority w:val="10"/>
    <w:qFormat/>
    <w:rPr>
      <w:sz w:val="48"/>
      <w:szCs w:val="48"/>
    </w:rPr>
  </w:style>
  <w:style w:type="character" w:styleId="637">
    <w:name w:val="Subtitle Char"/>
    <w:basedOn w:val="650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50"/>
    <w:uiPriority w:val="99"/>
    <w:qFormat/>
  </w:style>
  <w:style w:type="character" w:styleId="641">
    <w:name w:val="Footer Char"/>
    <w:basedOn w:val="650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character" w:styleId="651" w:customStyle="1">
    <w:name w:val="Основной текст Знак"/>
    <w:basedOn w:val="650"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652" w:customStyle="1">
    <w:name w:val="Текст выноски Знак"/>
    <w:basedOn w:val="650"/>
    <w:uiPriority w:val="99"/>
    <w:semiHidden/>
    <w:qFormat/>
    <w:rPr>
      <w:rFonts w:ascii="Segoe UI" w:hAnsi="Segoe UI" w:cs="Segoe UI"/>
      <w:sz w:val="18"/>
      <w:szCs w:val="18"/>
    </w:rPr>
  </w:style>
  <w:style w:type="character" w:styleId="653" w:customStyle="1">
    <w:name w:val="Основной текст с отступом Знак"/>
    <w:basedOn w:val="65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Заголовок"/>
    <w:basedOn w:val="617"/>
    <w:next w:val="65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55">
    <w:name w:val="Body Text"/>
    <w:basedOn w:val="617"/>
    <w:qFormat/>
    <w:pPr>
      <w:jc w:val="both"/>
      <w:spacing w:before="160" w:after="0" w:line="240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656">
    <w:name w:val="List"/>
    <w:basedOn w:val="655"/>
    <w:rPr>
      <w:rFonts w:cs="Lohit Devanagari"/>
    </w:rPr>
  </w:style>
  <w:style w:type="paragraph" w:styleId="657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8">
    <w:name w:val="Указатель"/>
    <w:basedOn w:val="617"/>
    <w:qFormat/>
    <w:pPr>
      <w:suppressLineNumbers/>
    </w:pPr>
    <w:rPr>
      <w:rFonts w:cs="Lohit Devanagari"/>
    </w:rPr>
  </w:style>
  <w:style w:type="paragraph" w:styleId="659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0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1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2">
    <w:name w:val="Quote"/>
    <w:basedOn w:val="617"/>
    <w:uiPriority w:val="29"/>
    <w:qFormat/>
    <w:pPr>
      <w:ind w:left="720" w:right="720"/>
    </w:pPr>
    <w:rPr>
      <w:i/>
    </w:rPr>
  </w:style>
  <w:style w:type="paragraph" w:styleId="663">
    <w:name w:val="Intense Quote"/>
    <w:basedOn w:val="617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4">
    <w:name w:val="Колонтитул"/>
    <w:basedOn w:val="617"/>
    <w:qFormat/>
  </w:style>
  <w:style w:type="paragraph" w:styleId="665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6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7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8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9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70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1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2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3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4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5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6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7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8">
    <w:name w:val="Index Heading"/>
    <w:basedOn w:val="654"/>
  </w:style>
  <w:style w:type="paragraph" w:styleId="679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0">
    <w:name w:val="table of figures"/>
    <w:basedOn w:val="617"/>
    <w:uiPriority w:val="99"/>
    <w:unhideWhenUsed/>
    <w:pPr>
      <w:spacing w:before="0" w:after="0" w:afterAutospacing="0"/>
    </w:pPr>
  </w:style>
  <w:style w:type="paragraph" w:styleId="681">
    <w:name w:val="List Paragraph"/>
    <w:basedOn w:val="617"/>
    <w:uiPriority w:val="99"/>
    <w:qFormat/>
    <w:pPr>
      <w:contextualSpacing/>
      <w:ind w:left="720"/>
      <w:spacing w:before="0" w:after="200"/>
    </w:pPr>
    <w:rPr>
      <w:rFonts w:ascii="Calibri" w:hAnsi="Calibri" w:asciiTheme="minorHAnsi" w:hAnsiTheme="minorHAnsi"/>
      <w:sz w:val="22"/>
    </w:rPr>
  </w:style>
  <w:style w:type="paragraph" w:styleId="682" w:customStyle="1">
    <w:name w:val="ConsPlusTitle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Arial" w:cs="Arial" w:eastAsiaTheme="minorEastAsia"/>
      <w:b/>
      <w:bCs/>
      <w:color w:val="auto"/>
      <w:sz w:val="20"/>
      <w:szCs w:val="20"/>
      <w:lang w:val="ru-RU" w:eastAsia="ru-RU" w:bidi="ar-SA"/>
    </w:rPr>
  </w:style>
  <w:style w:type="paragraph" w:styleId="683">
    <w:name w:val="Balloon Text"/>
    <w:basedOn w:val="617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84">
    <w:name w:val="Body Text Indent"/>
    <w:basedOn w:val="617"/>
    <w:pPr>
      <w:ind w:left="283"/>
      <w:spacing w:before="0" w:after="120" w:line="240" w:lineRule="auto"/>
    </w:pPr>
    <w:rPr>
      <w:rFonts w:eastAsia="Times New Roman" w:cs="Times New Roman"/>
      <w:sz w:val="24"/>
      <w:szCs w:val="24"/>
      <w:lang w:eastAsia="ru-RU"/>
    </w:rPr>
  </w:style>
  <w:style w:type="numbering" w:styleId="685" w:default="1">
    <w:name w:val="No List"/>
    <w:uiPriority w:val="99"/>
    <w:semiHidden/>
    <w:unhideWhenUsed/>
    <w:qFormat/>
  </w:style>
  <w:style w:type="table" w:styleId="68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4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Ольга Агафоновна</dc:creator>
  <dc:description/>
  <dc:language>ru-RU</dc:language>
  <cp:lastModifiedBy>popova_ele</cp:lastModifiedBy>
  <cp:revision>13</cp:revision>
  <dcterms:created xsi:type="dcterms:W3CDTF">2025-01-14T12:33:00Z</dcterms:created>
  <dcterms:modified xsi:type="dcterms:W3CDTF">2026-01-16T10:42:21Z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