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FA3349">
        <w:rPr>
          <w:rFonts w:ascii="Times New Roman" w:hAnsi="Times New Roman" w:cs="Times New Roman"/>
          <w:sz w:val="28"/>
          <w:szCs w:val="28"/>
        </w:rPr>
        <w:t>2 ноября</w:t>
      </w:r>
      <w:r w:rsidR="00404D98">
        <w:rPr>
          <w:rFonts w:ascii="Times New Roman" w:hAnsi="Times New Roman" w:cs="Times New Roman"/>
          <w:sz w:val="28"/>
          <w:szCs w:val="28"/>
        </w:rPr>
        <w:t xml:space="preserve"> 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6511B4">
        <w:rPr>
          <w:rFonts w:ascii="Times New Roman" w:hAnsi="Times New Roman" w:cs="Times New Roman"/>
          <w:sz w:val="28"/>
          <w:szCs w:val="28"/>
        </w:rPr>
        <w:t xml:space="preserve">1 </w:t>
      </w:r>
      <w:r w:rsidR="00FA3349">
        <w:rPr>
          <w:rFonts w:ascii="Times New Roman" w:hAnsi="Times New Roman" w:cs="Times New Roman"/>
          <w:sz w:val="28"/>
          <w:szCs w:val="28"/>
        </w:rPr>
        <w:t>декабря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>по маршрутам согласно приложению 1 к Правилам. 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ериод выполнения рейсов – с 01.01.2022-31.12.2022.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</w:t>
      </w:r>
    </w:p>
    <w:p w:rsidR="00925C74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авиаперевозчик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4) авиаперевозчик вправе по собственной инициативе также представить: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а) справку налогового органа об исполнении авиаперевозчиком обязанности по уплате налогов, сборов, страховых взносов, пеней, штрафов, процентов, выданную не ранее даты, указанной в </w:t>
      </w:r>
      <w:hyperlink r:id="rId17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выписку из Единого государственного реестра юридических лиц, полученную не ранее даты, указанной в </w:t>
      </w:r>
      <w:hyperlink r:id="rId18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заказным почтовым отправлением или передаются нарочно, в том числе посредством курьерской связи.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авиаперевозчиками, порядок возврата заявок авиаперевозчикам,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3) Министерство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отклоняет заявку авиаперевозчика в случае: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4664E3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9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404D9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2251D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в течение 10 рабочих дней со дня принятия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 заключить с Министерством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Удмуртской Республики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в соответствии с типовой формой, установленной Министерством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Удмуртской Республики.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дополнительно содержит положения о направлениях затрат (недополученных доходов),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субсидии одному получателю субсидии по нескольким </w:t>
      </w:r>
      <w:hyperlink r:id="rId29" w:history="1">
        <w:r w:rsidRPr="00556356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предусмотренным приложением 1 к Правилам, заключается одно соглашение о предоставлении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В соглашении о предоставлении субсидии предусматриваются в том числе согласие получателя субсидии на осуществление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Министерством финансов Удмуртской Республики и Государственным контрольным комитетом Удмуртской Республики проверок соблюдения получателем субсидии целей, условий и порядка предоставления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197587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6511B4">
        <w:rPr>
          <w:rFonts w:ascii="Times New Roman" w:hAnsi="Times New Roman" w:cs="Times New Roman"/>
          <w:sz w:val="28"/>
          <w:szCs w:val="28"/>
          <w:lang w:eastAsia="ru-RU"/>
        </w:rPr>
        <w:t>не позднее 1</w:t>
      </w:r>
      <w:r w:rsidR="00FA334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349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bookmarkStart w:id="5" w:name="_GoBack"/>
      <w:bookmarkEnd w:id="5"/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7C6"/>
    <w:rsid w:val="003B6C77"/>
    <w:rsid w:val="00404D98"/>
    <w:rsid w:val="0042657C"/>
    <w:rsid w:val="00454297"/>
    <w:rsid w:val="004664E3"/>
    <w:rsid w:val="00480638"/>
    <w:rsid w:val="00556356"/>
    <w:rsid w:val="006511B4"/>
    <w:rsid w:val="006D69F9"/>
    <w:rsid w:val="006E332A"/>
    <w:rsid w:val="00721B9D"/>
    <w:rsid w:val="007A5CC9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BF7AA1"/>
    <w:rsid w:val="00C00B63"/>
    <w:rsid w:val="00C0577C"/>
    <w:rsid w:val="00C274AD"/>
    <w:rsid w:val="00C77B78"/>
    <w:rsid w:val="00D17936"/>
    <w:rsid w:val="00D31F75"/>
    <w:rsid w:val="00D8650F"/>
    <w:rsid w:val="00D949CC"/>
    <w:rsid w:val="00DA4E01"/>
    <w:rsid w:val="00DD057D"/>
    <w:rsid w:val="00DF5EF9"/>
    <w:rsid w:val="00E35CF6"/>
    <w:rsid w:val="00E72811"/>
    <w:rsid w:val="00E745AD"/>
    <w:rsid w:val="00E95711"/>
    <w:rsid w:val="00F00BBC"/>
    <w:rsid w:val="00F20396"/>
    <w:rsid w:val="00F32377"/>
    <w:rsid w:val="00F86803"/>
    <w:rsid w:val="00F902CB"/>
    <w:rsid w:val="00FA3349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hyperlink" Target="consultantplus://offline/ref=048426F884E6CACBE97245AA507E4BABD49877890238DF080FD89A743CB2A65876EA32EF6E9342C216CF884ACBA5C9A4DA1E68CEE969D138A73E66B8n2E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AF10-F5EC-4B9B-9908-2FEF89F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2022-10-26T06:01:00Z</dcterms:created>
  <dcterms:modified xsi:type="dcterms:W3CDTF">2022-10-26T06:03:00Z</dcterms:modified>
</cp:coreProperties>
</file>